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3.000323.000.00.00.H18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giám sát việc giám hộ</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chấm dứt giám hộ nộp hồ sơ đăng ký chấm dứt giám hộ tại Trung tâm Phục vụ hành chính công có thẩm quyền; nộp lệ phí nếu thuộc trường hợp phải nộp lệ phí đăng ký chấm dứt giám hộ; nộp phí cấp bản sao Trích lục đăng ký chấm dứt giám hộ nếu có yêu cầu cấp bản sao Trích lục đăng ký chấm dứt giám hộ.  
- Nếu lựa chọn hình thức nộp hồ sơ trực tuyến, người yêu cầu đăng ký chấm dứt giám hộ truy cập Cổng dịch vụ công quốc gia hoặc Ứng dụng định danh quốc gia.
Người yêu cầu đăng ký chấm dứt giám hộ trực tuyến cung cấp thông tin theo mẫu hộ tịch điện tử tương tác đăng ký chấm dứt giám hộ,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chấm dứt giám hộ không bổ sung, hoàn thiện được hồ sơ thì báo cáo Lãnh đạo Trung tâm Phục vụ hành chính công  có thông báo từ chối giải quyết yêu cầu đăng ký chấm dứt giám hộ.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hồ sơ đầy đủ, hợp lệ, đúng quy định, trường hợp tiếp nhận hồ sơ đăng ký chấm dứt giám hộ theo hình thức trực tiếp, thì công chức tư pháp - hộ tịch thực hiện ghi vào Sổ đăng ký chấm dứt giám hộ, cập nhật thông tin đăng ký chấm dứt giám hộ trên Phần mềm đăng ký, quản lý hộ tịch điện tử dùng chung.
 Trường hợp tiếp nhận hồ sơ đăng ký chấm dứt giám hộ theo hình thức trực tuyến, công chức tư pháp - hộ tịch gửi lại biểu mẫu Trích lục đăng ký chấm dứt giám hộ điện tử với thông tin đầy đủ cho người yêu cầu qua thư điện tử hoặc thiết bị số.
Người yêu cầu có trách nhiệm kiểm tra tính chính xác, đầy đủ của các thông tin trên biểu mẫu Trích lục đăng ký chấm dứt giám hộ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chấm dứt giám hộ, cập nhật thông tin đăng ký chấm dứt giám hộ trên Phần mềm đăng ký, quản lý hộ tịch điện tử dùng chung.  
- Công chức tư pháp - hộ tịch in Trích lục đăng ký chấm dứt giám hộ, trình Lãnh đạo Ủy ban nhân dân cấp xã ký, chuyển Trung tâm Phục vụ hành chính công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(Phí cấp bản sao Trích lục đăng ký giám sát giám hộ (nếu có yêu cầu): 8.000 đồng/ bản.)</w:t>
            </w:r>
          </w:p>
          <w:p>
            <w:pPr>
              <w:spacing w:after="0" w:before="0" w:lineRule="auto" w:line="276"/>
              <w:jc w:val="left"/>
            </w:pPr>
            <w:r>
              <w:rPr>
                <w:rFonts w:ascii="Times New Roman" w:hAnsi="Times New Roman" w:cs="Times New Roman" w:eastAsia="Times New Roman"/>
                <w:b w:val="false"/>
                <w:sz w:val="26"/>
              </w:rPr>
              <w:t xml:space="preserve">Lệ phí :  </w:t>
              <w:t xml:space="preserve"> (Miễn lệ phí.)</w:t>
            </w:r>
          </w:p>
        </w:tc>
        <w:tc>
          <w:p/>
          <w:p>
            <w:pPr>
              <w:spacing w:after="0" w:before="0" w:lineRule="auto" w:line="276"/>
              <w:jc w:val="left"/>
            </w:pPr>
            <w:r>
              <w:rPr>
                <w:rFonts w:ascii="Times New Roman" w:hAnsi="Times New Roman" w:cs="Times New Roman" w:eastAsia="Times New Roman"/>
                <w:b w:val="false"/>
                <w:sz w:val="26"/>
              </w:rPr>
              <w:t>03 ngày làm việc, trường hợp cần phải xác minh thì thời hạn giải quyết được kéo dài nhưng không quá 05 ngày làm việc kể từ ngày tiếp nhận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(Phí cấp bản sao Trích lục đăng ký giám sát giám hộ (nếu có yêu cầu): 8.000 đồng/ bản.)</w:t>
            </w:r>
          </w:p>
          <w:p>
            <w:pPr>
              <w:spacing w:after="0" w:before="0" w:lineRule="auto" w:line="276"/>
              <w:jc w:val="left"/>
            </w:pPr>
            <w:r>
              <w:rPr>
                <w:rFonts w:ascii="Times New Roman" w:hAnsi="Times New Roman" w:cs="Times New Roman" w:eastAsia="Times New Roman"/>
                <w:b w:val="false"/>
                <w:sz w:val="26"/>
              </w:rPr>
              <w:t xml:space="preserve">Lệ phí :  </w:t>
              <w:t xml:space="preserve"> (Miễn lệ phí.)</w:t>
            </w:r>
          </w:p>
        </w:tc>
        <w:tc>
          <w:p/>
          <w:p>
            <w:pPr>
              <w:spacing w:after="0" w:before="0" w:lineRule="auto" w:line="276"/>
              <w:jc w:val="left"/>
            </w:pPr>
            <w:r>
              <w:rPr>
                <w:rFonts w:ascii="Times New Roman" w:hAnsi="Times New Roman" w:cs="Times New Roman" w:eastAsia="Times New Roman"/>
                <w:b w:val="false"/>
                <w:sz w:val="26"/>
              </w:rPr>
              <w:t>03 ngày làm việc, trường hợp cần phải xác minh thì thời hạn giải quyết được kéo dài nhưng không quá 05 ngày làm việc kể từ ngày tiếp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(Phí cấp bản sao Trích lục đăng ký giám sát giám hộ (nếu có yêu cầu): 8.000 đồng/ bản.)</w:t>
            </w:r>
          </w:p>
          <w:p>
            <w:pPr>
              <w:spacing w:after="0" w:before="0" w:lineRule="auto" w:line="276"/>
              <w:jc w:val="left"/>
            </w:pPr>
            <w:r>
              <w:rPr>
                <w:rFonts w:ascii="Times New Roman" w:hAnsi="Times New Roman" w:cs="Times New Roman" w:eastAsia="Times New Roman"/>
                <w:b w:val="false"/>
                <w:sz w:val="26"/>
              </w:rPr>
              <w:t xml:space="preserve">Lệ phí :  </w:t>
              <w:t xml:space="preserve"> (Miễn lệ phí.)</w:t>
            </w:r>
          </w:p>
        </w:tc>
        <w:tc>
          <w:p/>
          <w:p>
            <w:pPr>
              <w:spacing w:after="0" w:before="0" w:lineRule="auto" w:line="276"/>
              <w:jc w:val="left"/>
            </w:pPr>
            <w:r>
              <w:rPr>
                <w:rFonts w:ascii="Times New Roman" w:hAnsi="Times New Roman" w:cs="Times New Roman" w:eastAsia="Times New Roman"/>
                <w:b w:val="false"/>
                <w:sz w:val="26"/>
              </w:rPr>
              <w:t>03 ngày làm việc, trường hợp cần phải xác minh thì thời hạn giải quyết được kéo dài nhưng không quá 05 ngày làm việc kể từ ngày tiếp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Giấy tờ phải nộp: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là căn cứ chứng minh việc thoả thuận cử/chọn người giám sát giám hộ theo quy định của Bộ luật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đăng ký giám sát việc giám hộ.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giám sát việc giám hộ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giám sát việc giám hộ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Thành phần hồ sơ:</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giám sát việc giám hộ theo mẫu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20.Tkhaingkgimstvicgimh.docx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giám sát việc giám hộ (do người yêu cầu cung cấp thông tin theo hướng dẫn trên Cổng dịch vụ công, nếu người có yêu cầu lựa chọn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giám sát việc giám hộ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đăng ký đăng ký giám sát việc giám hộ</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60/2014/QH13 </w:t>
            </w:r>
          </w:p>
        </w:tc>
        <w:tc>
          <w:p/>
          <w:p>
            <w:pPr>
              <w:spacing w:after="0" w:before="0" w:lineRule="auto" w:line="276"/>
              <w:jc w:val="left"/>
            </w:pPr>
            <w:r>
              <w:rPr>
                <w:rFonts w:ascii="Times New Roman" w:hAnsi="Times New Roman" w:cs="Times New Roman" w:eastAsia="Times New Roman"/>
                <w:b w:val="false"/>
                <w:sz w:val="26"/>
              </w:rPr>
              <w:t>Luật Hộ tịch</w:t>
            </w:r>
          </w:p>
        </w:tc>
        <w:tc>
          <w:p/>
          <w:p>
            <w:pPr>
              <w:spacing w:after="0" w:before="0" w:lineRule="auto" w:line="276"/>
              <w:jc w:val="left"/>
            </w:pPr>
            <w:r>
              <w:rPr>
                <w:rFonts w:ascii="Times New Roman" w:hAnsi="Times New Roman" w:cs="Times New Roman" w:eastAsia="Times New Roman"/>
                <w:b w:val="false"/>
                <w:sz w:val="26"/>
              </w:rPr>
              <w:t>20-11-2014</w:t>
            </w:r>
          </w:p>
        </w:tc>
        <w:tc>
          <w:p/>
        </w:tc>
      </w:tr>
      <w:tr>
        <w:tc>
          <w:p/>
          <w:p>
            <w:pPr>
              <w:spacing w:after="0" w:before="0" w:lineRule="auto" w:line="276"/>
              <w:jc w:val="left"/>
            </w:pPr>
            <w:r>
              <w:rPr>
                <w:rFonts w:ascii="Times New Roman" w:hAnsi="Times New Roman" w:cs="Times New Roman" w:eastAsia="Times New Roman"/>
                <w:b w:val="false"/>
                <w:sz w:val="26"/>
              </w:rPr>
              <w:t>Thông tư số 281/2016/TT-BTC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91/2015/QH13</w:t>
            </w:r>
          </w:p>
        </w:tc>
        <w:tc>
          <w:p/>
          <w:p>
            <w:pPr>
              <w:spacing w:after="0" w:before="0" w:lineRule="auto" w:line="276"/>
              <w:jc w:val="left"/>
            </w:pPr>
            <w:r>
              <w:rPr>
                <w:rFonts w:ascii="Times New Roman" w:hAnsi="Times New Roman" w:cs="Times New Roman" w:eastAsia="Times New Roman"/>
                <w:b w:val="false"/>
                <w:sz w:val="26"/>
              </w:rPr>
              <w:t>Bộ luật dân sự</w:t>
            </w:r>
          </w:p>
        </w:tc>
        <w:tc>
          <w:p/>
          <w:p>
            <w:pPr>
              <w:spacing w:after="0" w:before="0" w:lineRule="auto" w:line="276"/>
              <w:jc w:val="left"/>
            </w:pPr>
            <w:r>
              <w:rPr>
                <w:rFonts w:ascii="Times New Roman" w:hAnsi="Times New Roman" w:cs="Times New Roman" w:eastAsia="Times New Roman"/>
                <w:b w:val="false"/>
                <w:sz w:val="26"/>
              </w:rPr>
              <w:t>24-11-2015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Hướng dẫn Luật hộ tịch và Nghị định 123/2015/NĐ-CP hướng dẫn Luật hộ tịch do Bộ trưởng Bộ Tư pháp ban hành</w:t>
            </w:r>
          </w:p>
        </w:tc>
        <w:tc>
          <w:p/>
          <w:p>
            <w:pPr>
              <w:spacing w:after="0" w:before="0" w:lineRule="auto" w:line="276"/>
              <w:jc w:val="left"/>
            </w:pPr>
            <w:r>
              <w:rPr>
                <w:rFonts w:ascii="Times New Roman" w:hAnsi="Times New Roman" w:cs="Times New Roman" w:eastAsia="Times New Roman"/>
                <w:b w:val="false"/>
                <w:sz w:val="26"/>
              </w:rPr>
              <w:t>28-05-2020</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01/2022/TT-BTP</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số 104/2022/NĐ-CP của Chính phủ: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giám sát việc giám hộ phải là người có năng lực hành vi dân sự đầy đủ nếu là cá nhân, có năng lực pháp luật dân sự phù hợp với việc giám sát nếu là pháp nhân; có điều kiện cần thiết để thực hiện việc giám sát.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2026-05-17T01:21:28Z</dcterms:created>
  <dc:creator>Apache POI</dc:creator>
</cp:coreProperties>
</file>