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2.002726.H42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mục tiêu hoạt động của dự án thực hiện theo thủ tục đầu tư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01 bộ hồ sơ đề nghị điều chỉnh mục tiêu hoạt động của dự án cho Ban quản lý khu công nghiệp, khu chế xuất, khu công nghệ cao, khu kinh tế (sau đây gọi chung là Ban quản lý) qua Trung tâm Phục vụ hành chính công tỉnh Ninh Bình.</w:t>
      </w:r>
    </w:p>
    <w:p>
      <w:pPr>
        <w:spacing w:after="0" w:before="0" w:lineRule="auto" w:line="276"/>
        <w:jc w:val="both"/>
      </w:pPr>
      <w:r>
        <w:rPr>
          <w:rFonts w:ascii="Times New Roman" w:hAnsi="Times New Roman" w:cs="Times New Roman" w:eastAsia="Times New Roman"/>
          <w:b w:val="false"/>
          <w:sz w:val="26"/>
        </w:rPr>
        <w:t>- Bước 2: Trong thời hạn 15 ngày kể từ ngày nhận được hồ sơ, Ban quản lý đánh giá hồ sơ và cấp Giấy chứng nhận đăng ký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Trung tâm Phục vụ hành chính công tỉnh Ninh Bình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 tại Hệ thống thông tin giải quyết thủ tục hành chính cấp tỉnh hoặc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Trung tâm Phục vụ hành chính công tỉnh Ninh Bình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 bao gồm nội dung cam kết đáp ứng điều kiện, tiêu chuẩn, quy chuẩn theo quy định của pháp luật về xây dựng, bảo vệ môi trường, phòng cháy, chữa cháy;</w:t>
            </w:r>
          </w:p>
        </w:tc>
        <w:tc>
          <w:p/>
          <w:p>
            <w:pPr>
              <w:spacing w:after="0" w:before="0" w:lineRule="auto" w:line="276"/>
              <w:jc w:val="left"/>
            </w:pPr>
            <w:r>
              <w:rPr>
                <w:rFonts w:ascii="Times New Roman" w:hAnsi="Times New Roman" w:cs="Times New Roman" w:eastAsia="Times New Roman"/>
                <w:b w:val="false"/>
                <w:sz w:val="26"/>
              </w:rPr>
              <w:t>D.3.Vanbandenghithuchienduan-dieuchinhmuctieu_sN1.doc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mục tiêu hoạt động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kinh tế và Các khu công nghiệp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đặc biệt (điều chỉnh mục tiêu hoạt động) theo mẫu Đ.4 ban hành kèm theo Thông tư số 06/2025/TT-BKHĐT, Thông báo từ chối cấp Giấy chứng nhận đăng ký đầu tư đặc biệt nêu rõ lý do theo mẫu Đ.1 ban hành kèm theo Thông tư số 06/2025/TT-BKHĐT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61/2020/QH14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57/2024/QH15</w:t>
            </w:r>
          </w:p>
        </w:tc>
        <w:tc>
          <w:p/>
          <w:p>
            <w:pPr>
              <w:spacing w:after="0" w:before="0" w:lineRule="auto" w:line="276"/>
              <w:jc w:val="left"/>
            </w:pPr>
            <w:r>
              <w:rPr>
                <w:rFonts w:ascii="Times New Roman" w:hAnsi="Times New Roman" w:cs="Times New Roman" w:eastAsia="Times New Roman"/>
                <w:b w:val="false"/>
                <w:sz w:val="26"/>
              </w:rPr>
              <w:t>Luật số 57/2024/QH15 ngày 29/11/2024</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19/2025/NĐ-CP</w:t>
            </w:r>
          </w:p>
        </w:tc>
        <w:tc>
          <w:p/>
          <w:p>
            <w:pPr>
              <w:spacing w:after="0" w:before="0" w:lineRule="auto" w:line="276"/>
              <w:jc w:val="left"/>
            </w:pPr>
            <w:r>
              <w:rPr>
                <w:rFonts w:ascii="Times New Roman" w:hAnsi="Times New Roman" w:cs="Times New Roman" w:eastAsia="Times New Roman"/>
                <w:b w:val="false"/>
                <w:sz w:val="26"/>
              </w:rPr>
              <w:t>Nghị định số 19/2025/NĐ-CP ngày 10/02/2025 của Chính phủ quy định chi tiết Luật Đầu tư về thủ tục đầu tư đặc biệt</w:t>
            </w:r>
          </w:p>
        </w:tc>
        <w:tc>
          <w:p/>
          <w:p>
            <w:pPr>
              <w:spacing w:after="0" w:before="0" w:lineRule="auto" w:line="276"/>
              <w:jc w:val="left"/>
            </w:pPr>
            <w:r>
              <w:rPr>
                <w:rFonts w:ascii="Times New Roman" w:hAnsi="Times New Roman" w:cs="Times New Roman" w:eastAsia="Times New Roman"/>
                <w:b w:val="false"/>
                <w:sz w:val="26"/>
              </w:rPr>
              <w:t>10-02-2025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06/2025/TT-BKHĐT</w:t>
            </w:r>
          </w:p>
        </w:tc>
        <w:tc>
          <w:p/>
          <w:p>
            <w:pPr>
              <w:spacing w:after="0" w:before="0" w:lineRule="auto" w:line="276"/>
              <w:jc w:val="left"/>
            </w:pPr>
            <w:r>
              <w:rPr>
                <w:rFonts w:ascii="Times New Roman" w:hAnsi="Times New Roman" w:cs="Times New Roman" w:eastAsia="Times New Roman"/>
                <w:b w:val="false"/>
                <w:sz w:val="26"/>
              </w:rPr>
              <w:t>Thông tư số 06/2025/TT-BKHĐT ngày 12/02/2025 của Bộ trưởng Bộ Kế hoạch và Đầu tư quy định mẫu văn bản liên quan đến thủ tục đầu tư đặc biệt.</w:t>
            </w:r>
          </w:p>
        </w:tc>
        <w:tc>
          <w:p/>
          <w:p>
            <w:pPr>
              <w:spacing w:after="0" w:before="0" w:lineRule="auto" w:line="276"/>
              <w:jc w:val="left"/>
            </w:pPr>
            <w:r>
              <w:rPr>
                <w:rFonts w:ascii="Times New Roman" w:hAnsi="Times New Roman" w:cs="Times New Roman" w:eastAsia="Times New Roman"/>
                <w:b w:val="false"/>
                <w:sz w:val="26"/>
              </w:rPr>
              <w:t>12-02-2025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đã được cấp hoặc cấp đổi Giấy chứng nhận đăng ký đầu tư theo thủ tục đầu tư đặc biệt.
- Toàn bộ mục tiêu của dự án đầu tư sau khi điều chỉnh phải thuộc lĩnh vực: 
+ Đầu tư xây dựng trung tâm đổi mới sáng tạo, trung tâm nghiên cứu và phát triển (R&amp;D); đầu tư trong lĩnh vực công nghiệp mạch tích hợp bán dẫn, công nghệ thiết kế, chế tạo linh kiện, vi mạch điện tử tích hợp (IC), điện tử linh hoạt (PE), chip, vật liệu bán dẫn; 
+ Đầu tư trong lĩnh vực công nghệ cao được ưu tiên đầu tư phát triển, sản xuất sản phẩm thuộc danh mục sản phẩm công nghệ cao được khuyến khích phát triển theo quyết định của Thủ tướng Chính phủ.
- Đối với dự án đầu tư tại khu công nghệ cao phải đáp ứng các nguyên tắc, tiêu chí đối với dự án thực hiện hoạt động công nghệ cao theo quy định của Luật công nghệ cao và quy định của Chính phủ về khu công nghệ cao.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mục tiêu hoạt động, của dự án, thực hiện theo, thủ tục, đầu tư đặc biệt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2026-05-24T23:43:29Z</dcterms:created>
  <dc:creator>Apache POI</dc:creator>
</cp:coreProperties>
</file>