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nhập khẩu trang thiết bị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đề nghị cấp giấy phép nhập khẩu trang thiết bị y tế nộp hồ sơ tại Bộ Y tế (Vụ Trang thiết bị và Công trình y tế)</w:t>
      </w:r>
    </w:p>
    <w:p>
      <w:pPr>
        <w:spacing w:after="0" w:before="0" w:lineRule="auto" w:line="276"/>
        <w:jc w:val="both"/>
      </w:pPr>
      <w:r>
        <w:rPr>
          <w:rFonts w:ascii="Times New Roman" w:hAnsi="Times New Roman" w:cs="Times New Roman" w:eastAsia="Times New Roman"/>
          <w:b w:val="false"/>
          <w:sz w:val="26"/>
        </w:rPr>
        <w:t>Trong thời gian 05 ngày làm việc, kể từ ngày ghi trên Phiếu tiếp nhận hồ sơ, Bộ Y tế có trách nhiệm xem xét về tính đầy đủ, hợp lệ của hồ sơ đề nghị gia hạn phép nhập khẩu.</w:t>
      </w:r>
    </w:p>
    <w:p>
      <w:pPr>
        <w:shd w:val="clear" w:color="auto" w:fill="F2F6F9"/>
        <w:spacing w:after="0" w:before="120" w:lineRule="auto" w:line="276"/>
        <w:jc w:val="both"/>
      </w:pPr>
      <w:r>
        <w:rPr>
          <w:rFonts w:ascii="Times New Roman" w:hAnsi="Times New Roman" w:cs="Times New Roman" w:eastAsia="Times New Roman"/>
          <w:b w:val="true"/>
          <w:sz w:val="26"/>
        </w:rPr>
        <w:t>Trường hợp hồ sơ chưa đầy đủ, hợp lệ:</w:t>
      </w:r>
    </w:p>
    <w:p>
      <w:pPr>
        <w:spacing w:after="0" w:before="0" w:lineRule="auto" w:line="276"/>
        <w:jc w:val="both"/>
      </w:pPr>
      <w:r>
        <w:rPr>
          <w:rFonts w:ascii="Times New Roman" w:hAnsi="Times New Roman" w:cs="Times New Roman" w:eastAsia="Times New Roman"/>
          <w:b w:val="false"/>
          <w:sz w:val="26"/>
        </w:rPr>
        <w:t>Trong thời gian 10 ngày làm việc, kể từ ngày ghi trên Phiếu tiếp nhận hồ sơ, Bộ Y tế phải có văn bản thông báo cho đơn vị nhập khẩu để sửa đổi, bổ sung hồ sơ nhập khẩu. Văn bản thông báo phải nêu cụ thể là bổ sung những tài liệu nào, nội dung nào cần sửa đổi. Việc thông báo hoàn thiện hồ sơ chỉ được thực hiện 01 lần trừ trường hợp các nội dung mà Bộ Y tế đã thông báo cần hoàn thiện nhưng đơn vị đề nghị nhập khẩu không hoàn thiện hoặc hoàn thiện không đúng yêu cầu của Bộ Y tế;</w:t>
      </w:r>
    </w:p>
    <w:p>
      <w:pPr>
        <w:spacing w:after="0" w:before="0" w:lineRule="auto" w:line="276"/>
        <w:jc w:val="both"/>
      </w:pPr>
      <w:r>
        <w:rPr>
          <w:rFonts w:ascii="Times New Roman" w:hAnsi="Times New Roman" w:cs="Times New Roman" w:eastAsia="Times New Roman"/>
          <w:b w:val="false"/>
          <w:sz w:val="26"/>
        </w:rPr>
        <w:t>Khi nhận được văn bản yêu cầu sửa đổi, bổ sung hồ sơ nhập khẩu, đơn vị nhập khẩu phải sửa đổi, bổ sung theo đúng những nội dung đã được ghi trong văn bản và gửi về Bộ Y tế. Ngày tiếp nhận hồ sơ bổ sung, sửa đổi được ghi trên dấu tiếp nhận công văn đến của Bộ Y tế;</w:t>
      </w:r>
    </w:p>
    <w:p>
      <w:pPr>
        <w:shd w:val="clear" w:color="auto" w:fill="F2F6F9"/>
        <w:spacing w:after="0" w:before="120" w:lineRule="auto" w:line="276"/>
        <w:jc w:val="both"/>
      </w:pPr>
      <w:r>
        <w:rPr>
          <w:rFonts w:ascii="Times New Roman" w:hAnsi="Times New Roman" w:cs="Times New Roman" w:eastAsia="Times New Roman"/>
          <w:b w:val="true"/>
          <w:sz w:val="26"/>
        </w:rPr>
        <w:t>Trường hợp hồ sơ đầy đủ, hợp lệ:</w:t>
      </w:r>
    </w:p>
    <w:p>
      <w:pPr>
        <w:spacing w:after="0" w:before="0" w:lineRule="auto" w:line="276"/>
        <w:jc w:val="both"/>
      </w:pPr>
      <w:r>
        <w:rPr>
          <w:rFonts w:ascii="Times New Roman" w:hAnsi="Times New Roman" w:cs="Times New Roman" w:eastAsia="Times New Roman"/>
          <w:b w:val="false"/>
          <w:sz w:val="26"/>
        </w:rPr>
        <w:t>Bộ Y tế có trách nhiệm gia hạn giấy phép nhập khẩu trong thời gian 10 ngày làm việc, kể từ ngày ghi trên Phiếu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200.000 Đồng</w:t>
              <w:t xml:space="preserve"> ( Dụng cụ y tế, vật tư cấy ghép nhập khẩu: 200.000 đồng/mặt hàng/lần (Theo Thông tư số 03/2013/TT-BTC ngày 08/01/2013 quy định phí thẩm định kinh doanh thương mại có điều kiện; thẩm định tiêu chuẩn, điều kiện hành nghề y, dược; lệ phí cấp giấy phép xuất, nhập khẩu trang thiết bị y tế, dược phẩm; cấp chứng chỉ hành nghề y; cấp giấy phép hoạt động đối với cơ sở khám, chữa bệnh) )</w:t>
            </w:r>
          </w:p>
          <w:p>
            <w:pPr>
              <w:spacing w:after="0" w:before="0" w:lineRule="auto" w:line="276"/>
              <w:jc w:val="left"/>
            </w:pPr>
            <w:r>
              <w:rPr>
                <w:rFonts w:ascii="Times New Roman" w:hAnsi="Times New Roman" w:cs="Times New Roman" w:eastAsia="Times New Roman"/>
                <w:b w:val="false"/>
                <w:sz w:val="26"/>
              </w:rPr>
              <w:t>Lệ phí : 500.000 Đồng</w:t>
              <w:t xml:space="preserve"> (Thiết bị y tế nhập khẩu trị giá dưới 1 tỷ đồng: 500.000 đồng/mặt hàng/lần )</w:t>
            </w:r>
          </w:p>
          <w:p>
            <w:pPr>
              <w:spacing w:after="0" w:before="0" w:lineRule="auto" w:line="276"/>
              <w:jc w:val="left"/>
            </w:pPr>
            <w:r>
              <w:rPr>
                <w:rFonts w:ascii="Times New Roman" w:hAnsi="Times New Roman" w:cs="Times New Roman" w:eastAsia="Times New Roman"/>
                <w:b w:val="false"/>
                <w:sz w:val="26"/>
              </w:rPr>
              <w:t>Lệ phí : 1.000.000 Đồng</w:t>
              <w:t xml:space="preserve"> (Thiết bị y tế nhập khẩu trị giá từ 1 tỷ đến 3 tỷ đồng: 1.000.000 đồng/mặt hàng/lần )</w:t>
            </w:r>
          </w:p>
          <w:p>
            <w:pPr>
              <w:spacing w:after="0" w:before="0" w:lineRule="auto" w:line="276"/>
              <w:jc w:val="left"/>
            </w:pPr>
            <w:r>
              <w:rPr>
                <w:rFonts w:ascii="Times New Roman" w:hAnsi="Times New Roman" w:cs="Times New Roman" w:eastAsia="Times New Roman"/>
                <w:b w:val="false"/>
                <w:sz w:val="26"/>
              </w:rPr>
              <w:t>Lệ phí : 3.000.000 Đồng</w:t>
              <w:t xml:space="preserve"> ( Thiết bị y tế nhập khẩu trị giá trên 3 tỷ đồng: 3.000.000 đồng/mặt hàng/lần )</w:t>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đầy đủ, hợp lệ theo dấu tiếp nhận công văn đến của cơ quan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200.000 Đồng</w:t>
              <w:t xml:space="preserve"> ( Dụng cụ y tế, vật tư cấy ghép nhập khẩu: 200.000 đồng/mặt hàng/lần (Theo Thông tư số 03/2013/TT-BTC ngày 08/01/2013 quy định phí thẩm định kinh doanh thương mại có điều kiện; thẩm định tiêu chuẩn, điều kiện hành nghề y, dược; lệ phí cấp giấy phép xuất, nhập khẩu trang thiết bị y tế, dược phẩm; cấp chứng chỉ hành nghề y; cấp giấy phép hoạt động đối với cơ sở khám, chữa bệnh) )</w:t>
            </w:r>
          </w:p>
          <w:p>
            <w:pPr>
              <w:spacing w:after="0" w:before="0" w:lineRule="auto" w:line="276"/>
              <w:jc w:val="left"/>
            </w:pPr>
            <w:r>
              <w:rPr>
                <w:rFonts w:ascii="Times New Roman" w:hAnsi="Times New Roman" w:cs="Times New Roman" w:eastAsia="Times New Roman"/>
                <w:b w:val="false"/>
                <w:sz w:val="26"/>
              </w:rPr>
              <w:t>Lệ phí : 500.000 Đồng</w:t>
              <w:t xml:space="preserve"> (Thiết bị y tế nhập khẩu trị giá dưới 1 tỷ đồng: 500.000 đồng/mặt hàng/lần )</w:t>
            </w:r>
          </w:p>
          <w:p>
            <w:pPr>
              <w:spacing w:after="0" w:before="0" w:lineRule="auto" w:line="276"/>
              <w:jc w:val="left"/>
            </w:pPr>
            <w:r>
              <w:rPr>
                <w:rFonts w:ascii="Times New Roman" w:hAnsi="Times New Roman" w:cs="Times New Roman" w:eastAsia="Times New Roman"/>
                <w:b w:val="false"/>
                <w:sz w:val="26"/>
              </w:rPr>
              <w:t>Lệ phí : 1.000.000 Đồng</w:t>
              <w:t xml:space="preserve"> (Thiết bị y tế nhập khẩu trị giá từ 1 tỷ đến 3 tỷ đồng: 1.000.000 đồng/mặt hàng/lần )</w:t>
            </w:r>
          </w:p>
          <w:p>
            <w:pPr>
              <w:spacing w:after="0" w:before="0" w:lineRule="auto" w:line="276"/>
              <w:jc w:val="left"/>
            </w:pPr>
            <w:r>
              <w:rPr>
                <w:rFonts w:ascii="Times New Roman" w:hAnsi="Times New Roman" w:cs="Times New Roman" w:eastAsia="Times New Roman"/>
                <w:b w:val="false"/>
                <w:sz w:val="26"/>
              </w:rPr>
              <w:t>Lệ phí : 3.000.000 Đồng</w:t>
              <w:t xml:space="preserve"> ( Thiết bị y tế nhập khẩu trị giá trên 3 tỷ đồng: 3.000.000 đồng/mặt hàng/lần )</w:t>
            </w:r>
          </w:p>
        </w:tc>
        <w:tc>
          <w:p/>
          <w:p>
            <w:pPr>
              <w:spacing w:after="0" w:before="0" w:lineRule="auto" w:line="276"/>
              <w:jc w:val="left"/>
            </w:pPr>
            <w:r>
              <w:rPr>
                <w:rFonts w:ascii="Times New Roman" w:hAnsi="Times New Roman" w:cs="Times New Roman" w:eastAsia="Times New Roman"/>
                <w:b w:val="false"/>
                <w:sz w:val="26"/>
              </w:rPr>
              <w:t>10 ngày kể từ ngày nhận được hồ sơ đầy đủ, hợp lệ theo dấu tiếp nhận công văn đến của cơ quan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giấy phép nhập khẩu của tổ chức, cá nhân đề nghị gia hạn giấy phép nhập khẩu theo Mẫu 02 quy định tại Phụ lục số II ban hành kèm theo Thông tư này.</w:t>
            </w:r>
          </w:p>
        </w:tc>
        <w:tc>
          <w:p/>
          <w:p>
            <w:pPr>
              <w:spacing w:after="0" w:before="0" w:lineRule="auto" w:line="276"/>
              <w:jc w:val="left"/>
            </w:pPr>
            <w:r>
              <w:rPr>
                <w:rFonts w:ascii="Times New Roman" w:hAnsi="Times New Roman" w:cs="Times New Roman" w:eastAsia="Times New Roman"/>
                <w:b w:val="false"/>
                <w:sz w:val="26"/>
              </w:rPr>
              <w:t>Mẫu số 02_PLII.docx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lưu hành tự do đối với chủng loại trang thiết bị y tế nhập khẩu còn hiệu lực tại thời điểm nộp hồ sơ.  a) Nộp bản chính hoặc bản sao có chứng thực hoặc bản sao có đóng dấu của tổ chức đề nghị nhập khẩu hoặc bản sao có chữ ký của cá nhân đề nghị nhập khẩu. Trường hợp nộp bản sao giấy chứng nhận lưu hành tự do có đóng dấu của tổ chức đề nghị nhập khẩu hoặc có chữ ký của cá nhân đề nghị nhập khẩu phải xuất trình kèm theo bản chính để đối chiếu;  b) Trường hợp giấy chứng nhận lưu hành tự do do cơ quan nước ngoài cấp thì trước khi nộp theo quy định tại Điểm a Khoản này phải đáp ứng các yêu cầu sau đây:  - Nếu ngôn ngữ sử dụng trong giấy chứng nhận lưu hành tự do không sử dụng ngôn ngữ là tiếng Anh hoặc tiếng Việt thì phải dịch ra tiếng Việt;  - Được hợp pháp hóa lãnh sự theo quy định của Nghị định số 111/2011/NĐ-CP ngày 02 tháng 12 năm 2011 của Chính phủ về chứng nhận lãnh sự, hợp pháp hóa lãnh sự (sau đây gọi tắt là Nghị định số 111/2011/NĐ-CP) trừ trường hợp Giấy chứng nhận lưu hành tự do được cấp bởi cơ quan quản lý nhà nước có thẩm quyền của các nước có ký kết Hiệp định tương trợ tư pháp với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ISO của nhà sản xuất trang thiết bị y tế còn hiệu lực tại thời điểm nộp hồ sơ.  Nộp bản chính hoặc bản sao có chứng thực hoặc bản sao có đóng dấu của tổ chức đề nghị nhập khẩu hoặc bản sao có chữ ký của cá nhân đề nghị nhập khẩu. Trường hợp nộp bản sao có đóng dấu của tổ chức đề nghị nhập khẩu hoặc bản sao có chữ ký của cá nhân đề nghị nhập khẩu thì phải cung cấp bổ sung thông tin tra cứu liên quan đến giấy chứng nhận ISO của tổ chức cấp giấy chứng nhận ISO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còn hiệu lực tại thời điểm nộp hồ sơ.  a) Nộp bản chính hoặc bản sao có công chứng hoặc bản sao có đóng dấu của tổ chức đề nghị nhập khẩu hoặc bản sao có chữ ký của cá nhân đề nghị nhập khẩu. Trường hợp nộp bản sao giấy ủy quyền có đóng dấu của tổ chức đề nghị nhập khẩu hoặc có chữ ký của cá nhân đề nghị nhập khẩu phải xuất trình kèm theo bản chính để đối chiếu;  b) Trường hợp giấy ủy quyền do cơ quan nước ngoài cấp thì trước khi nộp theo quy định tại Điểm a Khoản này phải đáp ứng các yêu cầu sau:  - Nếu ngôn ngữ sử dụng trong giấy ủy quyền không sử dụng ngôn ngữ là tiếng Anh hoặc tiếng Việt thì phải dịch ra tiếng Việt;  - Được hợp pháp hóa lãnh sự theo quy định tại Nghị định số 111/2011/NĐ-CP, trừ trường hợp Giấy chứng nhận lưu hành tự do được cấp bởi cơ quan quản lý nhà nước có thẩm quyền của các nước có ký kết Hiệp định tương trợ tư pháp với Việt Nam.</w:t>
            </w:r>
          </w:p>
        </w:tc>
        <w:tc>
          <w:p/>
          <w:p>
            <w:pPr>
              <w:spacing w:after="0" w:before="0" w:lineRule="auto" w:line="276"/>
              <w:jc w:val="left"/>
            </w:pPr>
            <w:r>
              <w:rPr>
                <w:rFonts w:ascii="Times New Roman" w:hAnsi="Times New Roman" w:cs="Times New Roman" w:eastAsia="Times New Roman"/>
                <w:b w:val="false"/>
                <w:sz w:val="26"/>
              </w:rPr>
              <w:t>PLIII.docx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nhập khẩu trang thiết bị y tế đến tính đến thời điểm nộp hồ sơ gia hạn giấy phép nhập khẩu trang thiết bị y tế theo Mẫu quy định tại Phụ lục số VI ban hành kèm theo Thông tư này</w:t>
            </w:r>
          </w:p>
        </w:tc>
        <w:tc>
          <w:p/>
          <w:p>
            <w:pPr>
              <w:spacing w:after="0" w:before="0" w:lineRule="auto" w:line="276"/>
              <w:jc w:val="left"/>
            </w:pPr>
            <w:r>
              <w:rPr>
                <w:rFonts w:ascii="Times New Roman" w:hAnsi="Times New Roman" w:cs="Times New Roman" w:eastAsia="Times New Roman"/>
                <w:b w:val="false"/>
                <w:sz w:val="26"/>
              </w:rPr>
              <w:t>Phu luc VI.doc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Vụ Trang thiết bị và công trình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03/2013/TT-BTC</w:t>
            </w:r>
          </w:p>
        </w:tc>
        <w:tc>
          <w:p/>
          <w:p>
            <w:pPr>
              <w:spacing w:after="0" w:before="0" w:lineRule="auto" w:line="276"/>
              <w:jc w:val="left"/>
            </w:pPr>
            <w:r>
              <w:rPr>
                <w:rFonts w:ascii="Times New Roman" w:hAnsi="Times New Roman" w:cs="Times New Roman" w:eastAsia="Times New Roman"/>
                <w:b w:val="false"/>
                <w:sz w:val="26"/>
              </w:rPr>
              <w:t>Thông tư 03/2013/TT-BTC - Quy định phí thẩm định kinh doanh thương mại có điều kiện; thẩm định tiêu chuẩn, điều kiện hành nghề y, dược; lệ phí cấp giấy phép xuất, nhập khẩu trang thiết bị y tế, dược phẩm; cấp chứng chỉ hành nghề y; cấp giấy phép hoạt động đối với cơ sở khám, chữa bệnh</w:t>
            </w:r>
          </w:p>
        </w:tc>
        <w:tc>
          <w:p/>
          <w:p>
            <w:pPr>
              <w:spacing w:after="0" w:before="0" w:lineRule="auto" w:line="276"/>
              <w:jc w:val="left"/>
            </w:pPr>
            <w:r>
              <w:rPr>
                <w:rFonts w:ascii="Times New Roman" w:hAnsi="Times New Roman" w:cs="Times New Roman" w:eastAsia="Times New Roman"/>
                <w:b w:val="false"/>
                <w:sz w:val="26"/>
              </w:rPr>
              <w:t>08-01-2013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36/2005/QH11 -  Thương mại</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187/2013/NĐ-CP</w:t>
            </w:r>
          </w:p>
        </w:tc>
        <w:tc>
          <w:p/>
          <w:p>
            <w:pPr>
              <w:spacing w:after="0" w:before="0" w:lineRule="auto" w:line="276"/>
              <w:jc w:val="left"/>
            </w:pPr>
            <w:r>
              <w:rPr>
                <w:rFonts w:ascii="Times New Roman" w:hAnsi="Times New Roman" w:cs="Times New Roman" w:eastAsia="Times New Roman"/>
                <w:b w:val="false"/>
                <w:sz w:val="26"/>
              </w:rPr>
              <w:t>Nghị định 187/2013/NĐ-CP - Quy định chi tiết thi hành Luật Thương mại về hoạt động mua bán hàng hóa quốc tế và các hoạt động đại lý mua, bán, gia công và quá cảnh hàng hóa với nước ngoài</w:t>
            </w:r>
          </w:p>
        </w:tc>
        <w:tc>
          <w:p/>
          <w:p>
            <w:pPr>
              <w:spacing w:after="0" w:before="0" w:lineRule="auto" w:line="276"/>
              <w:jc w:val="left"/>
            </w:pPr>
            <w:r>
              <w:rPr>
                <w:rFonts w:ascii="Times New Roman" w:hAnsi="Times New Roman" w:cs="Times New Roman" w:eastAsia="Times New Roman"/>
                <w:b w:val="false"/>
                <w:sz w:val="26"/>
              </w:rPr>
              <w:t>20-11-2013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30/2015/TT-BYT</w:t>
            </w:r>
          </w:p>
        </w:tc>
        <w:tc>
          <w:p/>
          <w:p>
            <w:pPr>
              <w:spacing w:after="0" w:before="0" w:lineRule="auto" w:line="276"/>
              <w:jc w:val="left"/>
            </w:pPr>
            <w:r>
              <w:rPr>
                <w:rFonts w:ascii="Times New Roman" w:hAnsi="Times New Roman" w:cs="Times New Roman" w:eastAsia="Times New Roman"/>
                <w:b w:val="false"/>
                <w:sz w:val="26"/>
              </w:rPr>
              <w:t>Thông tư 30/2015/TT-BYT - Quy định việc nhập khẩu trang thiết bị y tế</w:t>
            </w:r>
          </w:p>
        </w:tc>
        <w:tc>
          <w:p/>
          <w:p>
            <w:pPr>
              <w:spacing w:after="0" w:before="0" w:lineRule="auto" w:line="276"/>
              <w:jc w:val="left"/>
            </w:pPr>
            <w:r>
              <w:rPr>
                <w:rFonts w:ascii="Times New Roman" w:hAnsi="Times New Roman" w:cs="Times New Roman" w:eastAsia="Times New Roman"/>
                <w:b w:val="false"/>
                <w:sz w:val="26"/>
              </w:rPr>
              <w:t>12-10-2015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2026-05-26T19:41:25Z</dcterms:created>
  <dc:creator>Apache POI</dc:creator>
</cp:coreProperties>
</file>