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941/QĐ-BGDĐT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Chuyển trường trong cùng tỉnh, thành phố: Hiệu trưởng nơi đến tiếp nhận hồ sơ xem xét và giải quyết theo quy định của Giám đốc Sở giáo dục và đào tạo.</w:t>
      </w:r>
    </w:p>
    <w:p>
      <w:pPr>
        <w:spacing w:after="0" w:before="0" w:lineRule="auto" w:line="276"/>
        <w:jc w:val="both"/>
      </w:pPr>
      <w:r>
        <w:rPr>
          <w:rFonts w:ascii="Times New Roman" w:hAnsi="Times New Roman" w:cs="Times New Roman" w:eastAsia="Times New Roman"/>
          <w:b w:val="false"/>
          <w:sz w:val="26"/>
        </w:rPr>
        <w:t>Chuyển trường đến từ tỉnh, thành phố khác : Sở giáo dục và đào tạo nơi đến tiếp nhận, kiểm tra hồ sơ và giới thiệu về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Chưa có quy định cụ thể thực hiện tại Trụ sở cơ quan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cấp học dưới (bản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Hiệu trưởng nhà trường nơi đi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Trưởng Phòng giáo dục và đào tạo (đối với cấp trung học cơ sở), giấy giới thiệu chuyển trường do Giám đốc Sở giáo dục và đào tạo (đối với cấp trung học phổ thông) nơi đi cấp (trường hợp xin chuyển từ tỉnh, thành phố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hợp lệ để được hưởng chế độ ưu tiên, khuyến khích trong học tập, thi tuyển sinh, thi tốt nghiệp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khẩu hoặc giấy chứng nhận tạm trú dài hạn hoặc Quyết định điều động công tác của cha hoặc mẹ hoặc người giám hộ tại nơi sẽ chuyển đến với những học sinh chuyển nơi cư trú đến từ tỉnh, thành phố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chính quyền địa phương nơi học sinh cư trú với những học sinh có hoản cảnh đặc biệt khó khăn về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Về việc ban hành Quy định chuyển trường và tiếp nhận học sinh học tại các trường trung học cơ sở và trung học phổ thông.</w:t>
            </w:r>
          </w:p>
        </w:tc>
        <w:tc>
          <w:p/>
          <w:p>
            <w:pPr>
              <w:spacing w:after="0" w:before="0" w:lineRule="auto" w:line="276"/>
              <w:jc w:val="left"/>
            </w:pPr>
            <w:r>
              <w:rPr>
                <w:rFonts w:ascii="Times New Roman" w:hAnsi="Times New Roman" w:cs="Times New Roman" w:eastAsia="Times New Roman"/>
                <w:b w:val="false"/>
                <w:sz w:val="26"/>
              </w:rPr>
              <w:t>09-01-2003</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được xét và giải quyết chuyển trường nếu bảo đảm đủ các điều kiện về đối tượng và hồ sơ thủ tục:
* Đối tượng:
a) Học sinh chuyển nơi cư trú theo cha hoặc mẹ hoặc người giám hộ.
b) Học sinh có hoàn cảnh đặc biệt khó khăn về gia đình hoặc có lý do thực sự chính đáng để phải chuyển trường.
* Việc chuyển trường từ trường trung học phổ thông ngoài công lập sang trường trung học phổ thông công lập chỉ được xem xét, giải quyết trong hai trường hợp sau:
a) Trường hợp học sinh đang học tại trường trung học phổ thông ngoài công lập phải chuyển nơi cư trú theo cha mẹ hoặc người giám hộ đến vùng có điều kiện kinh tế - xã hội đặc biệt khó khăn mà ở đó không có trường trung học phổ thông ngoài công lập thì Giám đốc Sở Giáo dục và Đào tạo nơi đến xem xét, quyết định từng trường hợp cụ thể đối với việc chuyển vào học trường trung học phổ thông công lập.
b) Trường hợp học sinh đang học tại trường trung học phổ thông ngoài công lập thuộc loại trường có thi tuyển đầu vào phải chuyển nơi cư trú theo cha hoặc mẹ hoặc người giám hộ, mà ở đó không có trường trung học phổ thông ngoài công lập có chất lượng tương đương thì Giám đốc Sở Giáo dục và Đào tạo nơi đến xem xét, quyết định từng trường hợp cụ thể đối với việc chuyển vào học trường trung học phổ thông công lập.
* Việc chuyển trường được thực hiện khi kết thúc học kỳ I của năm học hoặc trong thời gian hè trước khi khai giảng năm học mới. Trường hợp ngoại lệ về thời gian do Trưởng phòng Giáo dục và Đào tạo (đối với cấp trung học cơ sở), Giám đốc Sở Giáo dục và Đào tạo (đối với cấp trung học phổ thông) nơi đến xem xét, quyết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2026-05-17T12:18:43Z</dcterms:created>
  <dc:creator>Apache POI</dc:creator>
</cp:coreProperties>
</file>