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984</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hoạt động kiểm định kỹ thuật an toàn lao động cho các tổ chức thực hiện kiểm định đối với các máy, thiết bị, vật tư có yêu cầu nghiêm ngặt về an toàn lao động sử dụng trong thi công xây dựng (bao gồm: hệ thống cốp pha trượt; hệ thống cốp pha leo; hệ giàn thép ván khuôn trượt; máy khoan, máy ép cọc, đóng cọc chuyên dùng có hệ thống tời nâng; máy bơm bê tông; cần trục tháp; máy vận thăng sử dụng trong thi công xây dựng; máy thi công công trình hầm, ngầm; hệ giàn giáo thép, thanh, cột chống tổ hợp; sàn treo nâng người sử dụng trong thi công xây dựng)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định kỹ thuật an toàn 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có nhu cầu cấp Giấy chứng nhận đủ điều kiện hoạt động kiểm định kỹ thuật an toàn lao động gửi hồ sơ đăng ký cấp Giấy chứng nhận đến Bộ phận Một cửa của Bộ Xây dựng, địa chỉ số 37 phố Lê Đại Hành, Quận Hai Bà Trưng, Hà Nội;</w:t>
      </w:r>
    </w:p>
    <w:p>
      <w:pPr>
        <w:spacing w:after="0" w:before="0" w:lineRule="auto" w:line="276"/>
        <w:jc w:val="both"/>
      </w:pPr>
      <w:r>
        <w:rPr>
          <w:rFonts w:ascii="Times New Roman" w:hAnsi="Times New Roman" w:cs="Times New Roman" w:eastAsia="Times New Roman"/>
          <w:b w:val="false"/>
          <w:sz w:val="26"/>
        </w:rPr>
        <w:t>- Trong thời hạn 30 ngày, kể từ ngày nhận đủ hồ sơ theo quy định, Bộ Xây dựng có trách nhiệm thẩm định và cấp Giấy chứng nhận. Trường hợp không cấp Giấy chứng nhận thì phải trả lời bằng văn bản và nêu rõ lý do;</w:t>
      </w:r>
    </w:p>
    <w:p>
      <w:pPr>
        <w:spacing w:after="0" w:before="0" w:lineRule="auto" w:line="276"/>
        <w:jc w:val="both"/>
      </w:pPr>
      <w:r>
        <w:rPr>
          <w:rFonts w:ascii="Times New Roman" w:hAnsi="Times New Roman" w:cs="Times New Roman" w:eastAsia="Times New Roman"/>
          <w:b w:val="false"/>
          <w:sz w:val="26"/>
        </w:rPr>
        <w:t>- Nộp phí thẩm định theo quy định của Bộ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(Phí : Đồng (Từ ngày 01/7/2025 đến hết ngày 31/12/2026 áp dụng theo quy định tại Thông tư số 64/2025/TT-BTC ngày 30/6/2025 của Bộ trưởng Bộ Tài chính quy định mức thu, miễn một số khoản phí, lệ phí nhằm hỗ trợ cho doanh nghiệp, người dân))</w:t>
            </w:r>
          </w:p>
        </w:tc>
        <w:tc>
          <w:p/>
          <w:p>
            <w:pPr>
              <w:spacing w:after="0" w:before="0" w:lineRule="auto" w:line="276"/>
              <w:jc w:val="left"/>
            </w:pPr>
            <w:r>
              <w:rPr>
                <w:rFonts w:ascii="Times New Roman" w:hAnsi="Times New Roman" w:cs="Times New Roman" w:eastAsia="Times New Roman"/>
                <w:b w:val="false"/>
                <w:sz w:val="26"/>
              </w:rPr>
              <w:t>30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(Phí : Đồng (Từ ngày 01/7/2025 đến hết ngày 31/12/2026 áp dụng theo quy định tại Thông tư số 64/2025/TT-BTC ngày 30/6/2025 của Bộ trưởng Bộ Tài chính quy định mức thu, miễn một số khoản phí, lệ phí nhằm hỗ trợ cho doanh nghiệp, người dân))</w:t>
            </w:r>
          </w:p>
        </w:tc>
        <w:tc>
          <w:p/>
          <w:p>
            <w:pPr>
              <w:spacing w:after="0" w:before="0" w:lineRule="auto" w:line="276"/>
              <w:jc w:val="left"/>
            </w:pPr>
            <w:r>
              <w:rPr>
                <w:rFonts w:ascii="Times New Roman" w:hAnsi="Times New Roman" w:cs="Times New Roman" w:eastAsia="Times New Roman"/>
                <w:b w:val="false"/>
                <w:sz w:val="26"/>
              </w:rPr>
              <w:t>30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(Phí : Đồng (Từ ngày 01/7/2025 đến hết ngày 31/12/2026 áp dụng theo quy định tại Thông tư số 64/2025/TT-BTC ngày 30/6/2025 của Bộ trưởng Bộ Tài chính quy định mức thu, miễn một số khoản phí, lệ phí nhằm hỗ trợ cho doanh nghiệp, người dân))</w:t>
            </w:r>
          </w:p>
        </w:tc>
        <w:tc>
          <w:p/>
          <w:p>
            <w:pPr>
              <w:spacing w:after="0" w:before="0" w:lineRule="auto" w:line="276"/>
              <w:jc w:val="left"/>
            </w:pPr>
            <w:r>
              <w:rPr>
                <w:rFonts w:ascii="Times New Roman" w:hAnsi="Times New Roman" w:cs="Times New Roman" w:eastAsia="Times New Roman"/>
                <w:b w:val="false"/>
                <w:sz w:val="26"/>
              </w:rPr>
              <w:t>30 ngày,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w:t>
            </w:r>
          </w:p>
        </w:tc>
        <w:tc>
          <w:p/>
          <w:p>
            <w:pPr>
              <w:spacing w:after="0" w:before="0" w:lineRule="auto" w:line="276"/>
              <w:jc w:val="left"/>
            </w:pPr>
            <w:r>
              <w:rPr>
                <w:rFonts w:ascii="Times New Roman" w:hAnsi="Times New Roman" w:cs="Times New Roman" w:eastAsia="Times New Roman"/>
                <w:b w:val="false"/>
                <w:sz w:val="26"/>
              </w:rPr>
              <w:t>DondenghicapGiaychungnhandudieukienhoatdongkiemdinhkythuatantoanlaodong.docx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thành lập đối với đơn vị sự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mục thiết bị, dụng cụ phục vụ kiểm định;</w:t>
            </w:r>
          </w:p>
        </w:tc>
        <w:tc>
          <w:p/>
          <w:p>
            <w:pPr>
              <w:spacing w:after="0" w:before="0" w:lineRule="auto" w:line="276"/>
              <w:jc w:val="left"/>
            </w:pPr>
            <w:r>
              <w:rPr>
                <w:rFonts w:ascii="Times New Roman" w:hAnsi="Times New Roman" w:cs="Times New Roman" w:eastAsia="Times New Roman"/>
                <w:b w:val="false"/>
                <w:sz w:val="26"/>
              </w:rPr>
              <w:t>Maudanhmucthietbidungcuphucvukiemdinh.docx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kiểm định viên;</w:t>
            </w:r>
          </w:p>
        </w:tc>
        <w:tc>
          <w:p/>
          <w:p>
            <w:pPr>
              <w:spacing w:after="0" w:before="0" w:lineRule="auto" w:line="276"/>
              <w:jc w:val="left"/>
            </w:pPr>
            <w:r>
              <w:rPr>
                <w:rFonts w:ascii="Times New Roman" w:hAnsi="Times New Roman" w:cs="Times New Roman" w:eastAsia="Times New Roman"/>
                <w:b w:val="false"/>
                <w:sz w:val="26"/>
              </w:rPr>
              <w:t>Maudanhsachkiemdinhvien.docx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tài liệu sau để chứng minh kinh nghiệm của người phụ trách kỹ thuật hoạt động kiểm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sổ hoặc tờ rời về tham gia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biên bản kiểm định kèm theo giấy chứng nhận kết quả kiểm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Giám định nhà nước về chất lượng công trình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Xây dựng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Xây dựng - 37 Lê Đại Hành - Quận Hai Bà Trưng -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kiểm định kỹ thuật ATLĐ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84/2015/QH13	</w:t>
            </w:r>
          </w:p>
        </w:tc>
        <w:tc>
          <w:p/>
          <w:p>
            <w:pPr>
              <w:spacing w:after="0" w:before="0" w:lineRule="auto" w:line="276"/>
              <w:jc w:val="left"/>
            </w:pPr>
            <w:r>
              <w:rPr>
                <w:rFonts w:ascii="Times New Roman" w:hAnsi="Times New Roman" w:cs="Times New Roman" w:eastAsia="Times New Roman"/>
                <w:b w:val="false"/>
                <w:sz w:val="26"/>
              </w:rPr>
              <w:t>Luật 84/2015/QH13	</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44/2016/NĐ-CP</w:t>
            </w:r>
          </w:p>
        </w:tc>
        <w:tc>
          <w:p/>
          <w:p>
            <w:pPr>
              <w:spacing w:after="0" w:before="0" w:lineRule="auto" w:line="276"/>
              <w:jc w:val="left"/>
            </w:pPr>
            <w:r>
              <w:rPr>
                <w:rFonts w:ascii="Times New Roman" w:hAnsi="Times New Roman" w:cs="Times New Roman" w:eastAsia="Times New Roman"/>
                <w:b w:val="false"/>
                <w:sz w:val="26"/>
              </w:rPr>
              <w:t>Nghị định 44/2016/NĐ-CP</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110/2017/TT-BTC</w:t>
            </w:r>
          </w:p>
        </w:tc>
        <w:tc>
          <w:p/>
          <w:p>
            <w:pPr>
              <w:spacing w:after="0" w:before="0" w:lineRule="auto" w:line="276"/>
              <w:jc w:val="left"/>
            </w:pPr>
            <w:r>
              <w:rPr>
                <w:rFonts w:ascii="Times New Roman" w:hAnsi="Times New Roman" w:cs="Times New Roman" w:eastAsia="Times New Roman"/>
                <w:b w:val="false"/>
                <w:sz w:val="26"/>
              </w:rPr>
              <w:t>Thông tư số 110/2017/TT-BTC</w:t>
            </w:r>
          </w:p>
        </w:tc>
        <w:tc>
          <w:p/>
          <w:p>
            <w:pPr>
              <w:spacing w:after="0" w:before="0" w:lineRule="auto" w:line="276"/>
              <w:jc w:val="left"/>
            </w:pPr>
            <w:r>
              <w:rPr>
                <w:rFonts w:ascii="Times New Roman" w:hAnsi="Times New Roman" w:cs="Times New Roman" w:eastAsia="Times New Roman"/>
                <w:b w:val="false"/>
                <w:sz w:val="26"/>
              </w:rPr>
              <w:t>20-10-2017</w:t>
            </w:r>
          </w:p>
        </w:tc>
        <w:tc>
          <w:p/>
        </w:tc>
      </w:tr>
      <w:tr>
        <w:tc>
          <w:p/>
          <w:p>
            <w:pPr>
              <w:spacing w:after="0" w:before="0" w:lineRule="auto" w:line="276"/>
              <w:jc w:val="left"/>
            </w:pPr>
            <w:r>
              <w:rPr>
                <w:rFonts w:ascii="Times New Roman" w:hAnsi="Times New Roman" w:cs="Times New Roman" w:eastAsia="Times New Roman"/>
                <w:b w:val="false"/>
                <w:sz w:val="26"/>
              </w:rPr>
              <w:t>04/2023/NĐ-CP</w:t>
            </w:r>
          </w:p>
        </w:tc>
        <w:tc>
          <w:p/>
          <w:p>
            <w:pPr>
              <w:spacing w:after="0" w:before="0" w:lineRule="auto" w:line="276"/>
              <w:jc w:val="left"/>
            </w:pPr>
            <w:r>
              <w:rPr>
                <w:rFonts w:ascii="Times New Roman" w:hAnsi="Times New Roman" w:cs="Times New Roman" w:eastAsia="Times New Roman"/>
                <w:b w:val="false"/>
                <w:sz w:val="26"/>
              </w:rPr>
              <w:t>Nghị định số 04/2023/NĐ-CP ngày 13 tháng 02 năm 2023 của Chính phủ sửa đổi, bổ sung một số điều của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13-02-2023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84/2024/NĐ-CP</w:t>
            </w:r>
          </w:p>
        </w:tc>
        <w:tc>
          <w:p/>
          <w:p>
            <w:pPr>
              <w:spacing w:after="0" w:before="0" w:lineRule="auto" w:line="276"/>
              <w:jc w:val="left"/>
            </w:pPr>
            <w:r>
              <w:rPr>
                <w:rFonts w:ascii="Times New Roman" w:hAnsi="Times New Roman" w:cs="Times New Roman" w:eastAsia="Times New Roman"/>
                <w:b w:val="false"/>
                <w:sz w:val="26"/>
              </w:rPr>
              <w:t>về thí điểm phân cấp quản lý nhà nước một số lĩnh vực cho chính quyền Thành phố Hồ Chí Minh.</w:t>
            </w:r>
          </w:p>
        </w:tc>
        <w:tc>
          <w:p/>
          <w:p>
            <w:pPr>
              <w:spacing w:after="0" w:before="0" w:lineRule="auto" w:line="276"/>
              <w:jc w:val="left"/>
            </w:pPr>
            <w:r>
              <w:rPr>
                <w:rFonts w:ascii="Times New Roman" w:hAnsi="Times New Roman" w:cs="Times New Roman" w:eastAsia="Times New Roman"/>
                <w:b w:val="false"/>
                <w:sz w:val="26"/>
              </w:rPr>
              <w:t>10-07-2024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là đơn vị sự nghiệp, doanh nghiệp được cấp Giấy chứng nhận đủ điều kiện hoạt động kiểm định kỹ thuật an toàn lao động phải đáp ứng các điều kiện sau:
- Bảo đảm thiết bị, dụng cụ phục vụ kiểm định cho từng đối tượng thuộc phạm vi kiểm định theo yêu cầu tại quy trình kiểm định, quy chuẩn kỹ thuật quốc gia về an toàn, vệ sinh lao động;
- Có ít nhất 02 kiểm định viên làm việc theo hợp đồng từ 12 tháng trở lên thuộc tổ chức để thực hiện kiểm định đối với mỗi đối tượng thuộc phạm vi đề nghị cấp Giấy chứng nhận đủ điều kiện hoạt động kiểm định;
- Người phụ trách kỹ thuật hoạt động kiểm định của tổ chức phải có thời gian làm kiểm định viên tối thiểu 02 năm.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2026-05-22T16:28:47Z</dcterms:created>
  <dc:creator>Apache POI</dc:creator>
</cp:coreProperties>
</file>