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2.002756.H36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883/QĐ-UBND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đủ điều kiện tổ chức bồi dưỡng tiếng dân tộc thiểu số</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Trung tâm giáo dục thường xuyên, trung tâm giáo dục nghề nghiệp - giáo dục thường xuyên xây dựng đề án.</w:t>
      </w:r>
    </w:p>
    <w:p>
      <w:pPr>
        <w:spacing w:after="0" w:before="0" w:lineRule="auto" w:line="276"/>
        <w:jc w:val="both"/>
      </w:pPr>
      <w:r>
        <w:rPr>
          <w:rFonts w:ascii="Times New Roman" w:hAnsi="Times New Roman" w:cs="Times New Roman" w:eastAsia="Times New Roman"/>
          <w:b w:val="false"/>
          <w:sz w:val="26"/>
        </w:rPr>
        <w:t>- Trung tâm giáo dục thường xuyên, trung tâm giáo dục nghề nghiệp - giáo dục thường xuyên báo cáo Ủy ban nhân dân cấp tỉnh (qua Sở Giáo dục và Đào tạo) về đề án tổ chức bồi dưỡng tiếng dân tộc thiểu số để kiểm tra, xác minh.</w:t>
      </w:r>
    </w:p>
    <w:p>
      <w:pPr>
        <w:spacing w:after="0" w:before="0" w:lineRule="auto" w:line="276"/>
        <w:jc w:val="both"/>
      </w:pPr>
      <w:r>
        <w:rPr>
          <w:rFonts w:ascii="Times New Roman" w:hAnsi="Times New Roman" w:cs="Times New Roman" w:eastAsia="Times New Roman"/>
          <w:b w:val="false"/>
          <w:sz w:val="26"/>
        </w:rPr>
        <w:t>- Ủy ban nhân dân cấp tỉnh thông báo hoặc ủy quyền cho Sở Giáo dục và Đào tạo thông báo việc đủ điều kiện để các đơn vị triển khai thực hiện đề 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án tổ chức đào tạo, bồi dưỡng tiếng dân tộc thiểu số bao gồm các nội dung: Sự cần thiết, mục đích, yêu cầu của việc tổ chức bồi dưỡng; thuyết minh đầy đủ thông tin, minh chứng đáp ứng yêu cầu tổ chức bồi dưỡng theo Điều 3 của Thông tư 09/2023/TT-BGDĐT; chỉ tiêu tuyển sinh, đối tượng tuyển sinh, phương thức tuyển sinh, hồ sơ tuyển sinh, ưu tiên trong tuyển sinh (nếu có); hình thức tổ chức bồi dưỡng, kiểm tra,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tổ chức bồi dưỡng cấp chứng chỉ tiếng dân tộc thiểu số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09/2023/TT-BGDĐT</w:t>
            </w:r>
          </w:p>
        </w:tc>
        <w:tc>
          <w:p/>
          <w:p>
            <w:pPr>
              <w:spacing w:after="0" w:before="0" w:lineRule="auto" w:line="276"/>
              <w:jc w:val="left"/>
            </w:pPr>
            <w:r>
              <w:rPr>
                <w:rFonts w:ascii="Times New Roman" w:hAnsi="Times New Roman" w:cs="Times New Roman" w:eastAsia="Times New Roman"/>
                <w:b w:val="false"/>
                <w:sz w:val="26"/>
              </w:rPr>
              <w:t>Thông tư ban hành quy định việc tổ chức đào tạo, bồi dưỡng và cấp chứng chỉ tiếng dân tộc thiểu số</w:t>
            </w:r>
          </w:p>
        </w:tc>
        <w:tc>
          <w:p/>
          <w:p>
            <w:pPr>
              <w:spacing w:after="0" w:before="0" w:lineRule="auto" w:line="276"/>
              <w:jc w:val="left"/>
            </w:pPr>
            <w:r>
              <w:rPr>
                <w:rFonts w:ascii="Times New Roman" w:hAnsi="Times New Roman" w:cs="Times New Roman" w:eastAsia="Times New Roman"/>
                <w:b w:val="false"/>
                <w:sz w:val="26"/>
              </w:rPr>
              <w:t>18-04-2023</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Trung tâm giáo dục thường xuyên, trung tâm giáo dục nghề nghiệp – giáo dục thường xuyên phải đáp ứng các điều kiện sau:  
a) Đội ngũ giáo viên có trình độ cao đẳng trở lên; có chứng chỉ đào tạo giáo viên dạy tiếng dân tộc thiểu số hoặc có hiểu biết về ngôn ngữ, văn hóa dân tộc thiểu số phù hợp với chương trình dự kiến bồi dưỡng; 
b) Chương trình chi tiết và tài liệu bồi dưỡng được xây dựng theo Chương trình khung của Bộ Giáo dục và Đào tạo và được cơ quan có thẩm quyền ban hành;
c) Cơ sở vật chất, thiết bị, phòng học đáp ứng yêu cầu chương trình bồi dưỡng tiếng dân tộc thiểu số;
d) Có đề án tổ chức bồi dưỡng tiếng dân tộc thiểu số.</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2026-05-25T13:48:09Z</dcterms:created>
  <dc:creator>Apache POI</dc:creator>
</cp:coreProperties>
</file>