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2765/QĐ-BKHCN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đăng ký kiểm tra chất lượng hàng hóa nhập khẩu đối với sản phẩm, hàng hóa thuộc lĩnh vực công nghệ thông tin và viễn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khai/lập hồ sơ đăng ký kiểm tra chất lượng hàng hóa nhập khẩu theo quy định tại điểm a khoản 2a Điều 7 Nghị định số 132/2008/NĐ-CP được bổ sung tại khoản 3 Điều 1 Nghị định số 74/2018/NĐ-CP và khoản 2 Điều 4 Nghị định số 154/2018/NĐ-CP (Khoản 2 Điều 16 Thông tư số 30/2011/TT-BTTTT được sửa đổi tại khoản 3 Điều 1 Thông tư số 10/2020/TT-BTTTT).
Bước 2: Trong thời hạn 01 ngày làm việc, Cục Viễn thông xác nhận tổ chức, cá nhân đã đăng ký kiểm tra chất lượng hàng hóa nhập khẩu trên bản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Cục Viễn thông: tòa nhà VNTA, số 68 đường Dương Đình Nghệ, phường Cầu Giấy,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qua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hệ thống bưu chính về Cục Viễn thông: tòa nhà VNTA, số 68 đường Dương Đình Nghệ, phường Cầu Giấy,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w:t>
            </w:r>
          </w:p>
        </w:tc>
        <w:tc>
          <w:p/>
          <w:p>
            <w:pPr>
              <w:spacing w:after="0" w:before="0" w:lineRule="auto" w:line="276"/>
              <w:jc w:val="left"/>
            </w:pPr>
            <w:r>
              <w:rPr>
                <w:rFonts w:ascii="Times New Roman" w:hAnsi="Times New Roman" w:cs="Times New Roman" w:eastAsia="Times New Roman"/>
                <w:b w:val="false"/>
                <w:sz w:val="26"/>
              </w:rPr>
              <w:t>Mẫu đăng ký kiểm tra nhà nước về chất lượng hàng hóa nhập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Danh mục hàng hóa (nếu có), bản sao (có xác nhận của tổ chức, cá nhân) vận đơn, hóa đơn, tờ khai hàng hóa nhập khẩu; chứng chỉ chất lượng của nước xuất khẩu (giấy chứng nhận chất lượng, kết quả thử nghiệm); giấy chứng nhận xuất xứ (nếu có), ảnh hoặc bản mô tả hàng hóa có các nội dung bắt buộc phải thể hiện trên nhãn hàng hóa và nhãn phụ (nếu nhãn chính chưa đủ nội dung theo quy định); chứng nhận lưu hành tự do CFS (nếu có). Tổ chức, cá nhân hoàn toàn chịu trách nhiệm trước pháp luật về chất lượng hàng hóa do mình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68 đường Dương Đình Nghệ, phường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kiểm tra nhà nước về chất lượng hàng hóa nhập khẩu TT13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viễn thông</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30/2011/TT-BTTTT	</w:t>
            </w:r>
          </w:p>
        </w:tc>
        <w:tc>
          <w:p/>
          <w:p>
            <w:pPr>
              <w:spacing w:after="0" w:before="0" w:lineRule="auto" w:line="276"/>
              <w:jc w:val="left"/>
            </w:pPr>
            <w:r>
              <w:rPr>
                <w:rFonts w:ascii="Times New Roman" w:hAnsi="Times New Roman" w:cs="Times New Roman" w:eastAsia="Times New Roman"/>
                <w:b w:val="false"/>
                <w:sz w:val="26"/>
              </w:rPr>
              <w:t>Quy định về chứng nhận hợp quy và công bố hợp quy đối với sản phẩm, hàng hóa chuyên ngành công nghệ thông tin về truyền thông</w:t>
            </w:r>
          </w:p>
        </w:tc>
        <w:tc>
          <w:p/>
          <w:p>
            <w:pPr>
              <w:spacing w:after="0" w:before="0" w:lineRule="auto" w:line="276"/>
              <w:jc w:val="left"/>
            </w:pPr>
            <w:r>
              <w:rPr>
                <w:rFonts w:ascii="Times New Roman" w:hAnsi="Times New Roman" w:cs="Times New Roman" w:eastAsia="Times New Roman"/>
                <w:b w:val="false"/>
                <w:sz w:val="26"/>
              </w:rPr>
              <w:t>31-10-2011</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2026-05-26T19:14:18Z</dcterms:created>
  <dc:creator>Apache POI</dc:creator>
</cp:coreProperties>
</file>