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chuyển tài sản KCHT đường sắt quốc gia/đô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tài sản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quốc gia</w:t>
      </w:r>
    </w:p>
    <w:p>
      <w:pPr>
        <w:spacing w:after="0" w:before="0" w:lineRule="auto" w:line="276"/>
        <w:jc w:val="both"/>
      </w:pPr>
      <w:r>
        <w:rPr>
          <w:rFonts w:ascii="Times New Roman" w:hAnsi="Times New Roman" w:cs="Times New Roman" w:eastAsia="Times New Roman"/>
          <w:b w:val="false"/>
          <w:sz w:val="26"/>
        </w:rPr>
        <w:t>a1) Doanh nghiệp quản lý tài sản đường sắt quốc gia lập hồ sơ đề nghị điều chuyển tài sản, trình cơ quan, người có thẩm quyền.
a2) Trong thời hạn 30 ngày, kể từ ngày nhận được đầy đủ hồ sơ quy định tại điểm a khoản 4 Điều 23 Nghị định số 15/2025/NĐ-CP, cơ quan, người có thẩm quyền xem xét, quyết định điều chuyển tài sản đối với các trường hợp thuộc thẩm quyền hoặc có văn bản hồi đáp trong trường hợp đề nghị điều chuyển tài sản chưa phù hợp.
Trường hợp việc điều chuyển tài sản thuộc thẩm quyền quyết định Bộ trưởng Bộ Tài chính thì Bộ Xây dựng lập hồ sơ đề nghị Bộ trưởng Bộ Tài chính xem xét, quyết định điều chuyển tài sản hoặc có văn bản hồi đáp trong trường hợp đề nghị điều chuyển tài sản chưa phù hợp</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đô thị</w:t>
      </w:r>
    </w:p>
    <w:p>
      <w:pPr>
        <w:spacing w:after="0" w:before="0" w:lineRule="auto" w:line="276"/>
        <w:jc w:val="both"/>
      </w:pPr>
      <w:r>
        <w:rPr>
          <w:rFonts w:ascii="Times New Roman" w:hAnsi="Times New Roman" w:cs="Times New Roman" w:eastAsia="Times New Roman"/>
          <w:b w:val="false"/>
          <w:sz w:val="26"/>
        </w:rPr>
        <w:t>a1) Doanh nghiệp quản lý tài sản đường sắt đô thị lập hồ sơ đề nghị điều chuyển tài sản, trình Ủy ban nhân dân cấp tỉnh.
a2) Trong thời hạn 30 ngày, kể từ ngày nhận được đầy đủ hồ sơ quy định tại điểm a khoản 4 Điều 23 Nghị định số 15/2025/NĐ-CP, Ủy ban nhân dân cấp tỉnh, Chủ tịch Ủy ban nhân dân cấp tỉnh xem xét, quyết định điều chuyển tài sản đối với các trường hợp thuộc thẩm quyền hoặc có văn bản hồi đáp trong trường hợp đề nghị điều chuyển tài sản chưa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điện tử (trong trường hợp đã có chữ ký số)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quốc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Doanh nghiệp quản lý tài sản đường sắt quốc gia về việc đề nghị điều chuyển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được tiếp nhận tài sản của cơ quan, tổ chức, đơn vị và cơ quan quản lý cấp trên (nếu có) của cơ quan, tổ chức, đơn vị đó, Doanh nghiệp quản lý tài sản đường sắt quốc gia  quốc gia  quốc gia  và cơ quan đại diện chủ sở hữu vốn nhà nước tại doanh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điều chuyển (tên tài sản, tên tuyến, địa chỉ, năm đưa vào sử dụng; thông số cơ bản (chiều dài, diện tích, khối lượng,…); nguyên giá, giá trị còn lại; tình trạng sử dụng của tài sản); lý do điều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việc điều chuyển tài sản do thay đổi về đối tượng quản lý, phân cấp quản lý thì không bắt buộc phải có văn bản đề nghị được tiếp nhận tài sản của cơ quan, tổ chức, đơn vị, doanh nghiệp quản lý tài sản đường sắt quốc gia tiếp nhận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tài sản KCHT đường sắt đô thị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doanh nghiệp quản lý tài sản đường sắt đô thị về việc đề nghị điều chuyển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được tiếp nhận tài sản của cơ quan, tổ chức, đơn vị và cơ quan quản lý cấp trên (nếu có) của cơ quan, tổ chức, đơn vị đó, doanh nghiệp quản lý tài sản đường sắt đô thị và cơ quan đại diện chủ sở hữu vốn nhà nước tại doanh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điều chuyển (chủng loại, số lượng, tình trạng; nguyên giá, giá trị còn lại theo sổ kế toán; mục đích sử dụng hiện tại và mục đích sử dụng dự kiến sau khi điều chuyển trong trường hợp việc điều chuyển gắn với việc chuyển đổi công năng sử dụng tài sản; lý do điều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việc điều chuyển tài sản do thay đổi về đối tượng quản lý, phân cấp quản lý thì không bắt buộc phải có văn bản đề nghị được tiếp nhận tài sản của cơ quan, tổ chức, đơn vị, doanh nghiệp quản lý tài sản đường sắt quốc gia tiếp nhận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Bộ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 Bộ trưởng Bộ tài chính,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chuyển tài sản kết cấu hạ tầng đường sắt đô thị, Quyết định điều chuyển tài sản kết cấu hạ tầng đường sắt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15/2025/NĐ-CP</w:t>
            </w:r>
          </w:p>
        </w:tc>
        <w:tc>
          <w:p/>
          <w:p>
            <w:pPr>
              <w:spacing w:after="0" w:before="0" w:lineRule="auto" w:line="276"/>
              <w:jc w:val="left"/>
            </w:pPr>
            <w:r>
              <w:rPr>
                <w:rFonts w:ascii="Times New Roman" w:hAnsi="Times New Roman" w:cs="Times New Roman" w:eastAsia="Times New Roman"/>
                <w:b w:val="false"/>
                <w:sz w:val="26"/>
              </w:rPr>
              <w:t>Nghị định số 15/2025/NĐ-CP của Chính phủ quy định việc quản lý, sử dụng và khai thác tài sản kết cấu hạ tầng đường sắt</w:t>
            </w:r>
          </w:p>
        </w:tc>
        <w:tc>
          <w:p/>
          <w:p>
            <w:pPr>
              <w:spacing w:after="0" w:before="0" w:lineRule="auto" w:line="276"/>
              <w:jc w:val="left"/>
            </w:pPr>
            <w:r>
              <w:rPr>
                <w:rFonts w:ascii="Times New Roman" w:hAnsi="Times New Roman" w:cs="Times New Roman" w:eastAsia="Times New Roman"/>
                <w:b w:val="false"/>
                <w:sz w:val="26"/>
              </w:rPr>
              <w:t>03-02-2025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127/2025/NĐ-CP</w:t>
            </w:r>
          </w:p>
        </w:tc>
        <w:tc>
          <w:p/>
          <w:p>
            <w:pPr>
              <w:spacing w:after="0" w:before="0" w:lineRule="auto" w:line="276"/>
              <w:jc w:val="left"/>
            </w:pPr>
            <w:r>
              <w:rPr>
                <w:rFonts w:ascii="Times New Roman" w:hAnsi="Times New Roman" w:cs="Times New Roman" w:eastAsia="Times New Roman"/>
                <w:b w:val="false"/>
                <w:sz w:val="26"/>
              </w:rPr>
              <w:t>Quy định về phân cấp thẩm quyền quản lý nhà nước trong lĩnh vực quản lý, sử dụng tài sản công</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2026-05-25T03:06:37Z</dcterms:created>
  <dc:creator>Apache POI</dc:creator>
</cp:coreProperties>
</file>