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giao tài sản KCHT đường sắt quốc gia/đô thị về địa phương quản lý, xử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tài sản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quốc gia</w:t>
      </w:r>
    </w:p>
    <w:p>
      <w:pPr>
        <w:spacing w:after="0" w:before="0" w:lineRule="auto" w:line="276"/>
        <w:jc w:val="both"/>
      </w:pPr>
      <w:r>
        <w:rPr>
          <w:rFonts w:ascii="Times New Roman" w:hAnsi="Times New Roman" w:cs="Times New Roman" w:eastAsia="Times New Roman"/>
          <w:b w:val="false"/>
          <w:sz w:val="26"/>
        </w:rPr>
        <w:t>a1) Doanh nghiệp quản lý tài sản đường sắt quốc gia lập hồ sơ đề nghị chuyển giao tài sản KCHT đường sắt quốc gia về địa phương quản lý, xử lý, trình cơ quan, người có thẩm quyền.
a2) Trong thời hạn 15 ngày, kể từ ngày nhận được đầy đủ hồ sơ quy định tại điểm a khoản 4 Điều 24 Nghị định số 15/2025/NĐ-CP, Bộ trưởng Bộ Xây dựng xem xét, quyết định việc chuyển giao tài sản hoặc có văn bản hồi đáp trong trường hợp đề nghị chuyển giao tài sản chưa phù hợp.</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đô thị</w:t>
      </w:r>
    </w:p>
    <w:p>
      <w:pPr>
        <w:spacing w:after="0" w:before="0" w:lineRule="auto" w:line="276"/>
        <w:jc w:val="both"/>
      </w:pPr>
      <w:r>
        <w:rPr>
          <w:rFonts w:ascii="Times New Roman" w:hAnsi="Times New Roman" w:cs="Times New Roman" w:eastAsia="Times New Roman"/>
          <w:b w:val="false"/>
          <w:sz w:val="26"/>
        </w:rPr>
        <w:t>a1) Doanh nghiệp quản lý tài sản đường sắt đô thị lập hồ sơ đề nghị chuyển giao tài sản KCHT đường sắt đô thị về địa phương quản lý, xử lý, trình Ủy ban nhân dân cấp tỉnh.
a2) Trong thời hạn 15 ngày, kể từ ngày nhận được đầy đủ hồ sơ quy định tại điểm a khoản 4 Điều 24 Nghị định số 15/2025/NĐ-CP, Ủy ban nhân dân cấp tỉnh xem xét, quyết định việc chuyển giao tài sản hoặc có văn bản hồi đáp trong trường hợp đề nghị chuyển giao tài sản chưa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doanh nghiệp quản lý tài sản đường sắt quốc gia về việc đề nghị chuyển giao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của Ủy ban nhân dân cấp tỉnh (nơi tiếp nhận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chuyển giao (tên tài sản, tên tuyến, địa chỉ, năm đưa vào sử dụng; thông số cơ bản (chiều dài, diện tích, khối lượng,…); nguyên giá, giá trị còn lại; tình trạng sử dụng của tài sản; lý do chuyển giao về địa phương quản lý,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liên quan về lý do đề nghị chuyển giao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đô thị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doanh nghiệp quản lý tài sản đường sắt đô thị về việc đề nghị chuyển giao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liên quan về lý do đề nghị chuyển giao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giao tài sản kết cấu hạ tầng đường sắt đô thị, Quyết định chuyển giao tài sản  kết cấu hạ tầng đường sắt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15/2025/NĐ-CP</w:t>
            </w:r>
          </w:p>
        </w:tc>
        <w:tc>
          <w:p/>
          <w:p>
            <w:pPr>
              <w:spacing w:after="0" w:before="0" w:lineRule="auto" w:line="276"/>
              <w:jc w:val="left"/>
            </w:pPr>
            <w:r>
              <w:rPr>
                <w:rFonts w:ascii="Times New Roman" w:hAnsi="Times New Roman" w:cs="Times New Roman" w:eastAsia="Times New Roman"/>
                <w:b w:val="false"/>
                <w:sz w:val="26"/>
              </w:rPr>
              <w:t>Nghị định số 15/2025/NĐ-CP của Chính phủ quy định việc quản lý, sử dụng và khai thác tài sản kết cấu hạ tầng đường sắt</w:t>
            </w:r>
          </w:p>
        </w:tc>
        <w:tc>
          <w:p/>
          <w:p>
            <w:pPr>
              <w:spacing w:after="0" w:before="0" w:lineRule="auto" w:line="276"/>
              <w:jc w:val="left"/>
            </w:pPr>
            <w:r>
              <w:rPr>
                <w:rFonts w:ascii="Times New Roman" w:hAnsi="Times New Roman" w:cs="Times New Roman" w:eastAsia="Times New Roman"/>
                <w:b w:val="false"/>
                <w:sz w:val="26"/>
              </w:rPr>
              <w:t>03-02-2025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2026-05-25T03:10:06Z</dcterms:created>
  <dc:creator>Apache POI</dc:creator>
</cp:coreProperties>
</file>