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1530-QĐ/VPTW</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sinh hoạt Đảng tạm thời (phục vụ thí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Dịch vụ công trong Đảng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Đảng viên thực hiện: 
- Bước 1: Truy cập Cổng Dịch vụ công quốc gia, đăng nhập bằng tài khoản cá nhân, chọn dịch vụ “Chuyển sinh hoạt Đảng tạm thời”.
- Bước 2: Kê khai thông tin chuyển sinh hoạt (mã số đảng viên, chi bộ đang sinh hoạt, lý do chuyển, tổ chức đảng nơi chuyển đến, thời gian hiệu lực), kèm theo giấy tờ liên quan là Phiếu báo chuyển sinh hoạt đảng tạm thời và giấy tờ khác (nếu có) dưới dạng file đính kèm (pdf, hình ảnh).
- Bước 3: Gửi hồ sơ điện tử đến chi bộ nơi đang sinh hoạt để xác nhận, theo dõi trạng thái xử lý trên hệ thống.
- Bước 4: Nhận Giấy giới thiệu chuyển sinh hoạt đảng tạm thời từ chi bộ nơi chuyển đi qua tài khoản cá nhân, sau đó xuất trình (in ra hoặc dùng bản điện tử) cho tổ chức đảng nơi chuyển đến.
2. Tổ chức đảng nơi chuyển đi thực hiện: 
- Bước 1: Truy cập Cổng Dịch vụ công quốc gia, đăng nhập bằng tài khoản tổ chức hoặc tài khoản cá nhân đảng viên được phân quyền, nhận hồ sơ chuyển sinh hoạt từ đảng viên.
- Bước 2: Xác minh thông tin (mã số đảng viên, tình trạng sinh hoạt, lý do chuyển), lập giấy giới thiệu sinh hoạt Đảng điện tử theo mẫu quy định (tạm thời).
- Bước 3: Gửi Phiếu báo chuyển sinh hoạt đảng tạm thời đến đảng viên và tổ chức đảng nơi chuyển đến qua hệ thống.
- Bước 4: Lưu trữ hồ sơ điện tử trên Cổng Dịch vụ công quốc gia để đối chiếu khi cần thiết.
3. Tổ chức đảng nơi chuyển đến thực hiện: 
- Bước 1: Truy cập Cổng Dịch vụ công quốc gia, đăng nhập bằng tài khoản tổ chức hoặc tài khoản cá nhân đảng viên được phân quyền, nhận giấy giới thiệu sinh hoạt Đảng từ tổ chức đảng nơi chuyển đi hoặc từ đảng viên.
- Bước 2: Kiểm tra thông tin xác nhận và phê duyệt đồng ý tiếp nhận đảng viên về sinh hoạt tạm thời tại tổ chức nơi chuyển đến. Hệ thống tự động cập nhật danh sách đảng viên tại thời điểm được phê duyệt.
- Bước 3: Thông báo xác nhận tiếp nhận (điện tử) đến đảng viên và tổ chức đảng nơi chuyển đi qua hệ thống trong vòng 30 ngày làm việc kể từ ngày nhận giấy giới thiệu.
- Bước 4: Báo cáo tình hình tiếp nhận đảng viên lên cấp ủy cấp trên (nếu cần) trên hệ thống.
4. Trường hợp đặc biệt: 
- Gia hạn sinh hoạt tạm thời: Đảng viên gửi yêu cầu gia hạn qua hệ thống, tổ chức đảng nơi chuyển đi và nơi tiếp nhận xác nhận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làm việc kể từ ngày giới thiệu chuyển đi, đảng viên phải xuất trình giấy giới thiệu sinh hoạt đảng với chi ủy nơi chuyển đến để được sinh hoạt đảng.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30 ngày làm việc kể từ ngày giới thiệu chuyển đi, đảng viên phải xuất trình giấy giới thiệu sinh hoạt đảng với chi ủy nơi chuyển đến để được sinh hoạt đảng.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chuyển sinh hoạt đảng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Trung ương Đảng, Thành uỷ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chuyển sinh hoạt đảng tạm thời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XI</w:t>
            </w:r>
          </w:p>
        </w:tc>
        <w:tc>
          <w:p/>
          <w:p>
            <w:pPr>
              <w:spacing w:after="0" w:before="0" w:lineRule="auto" w:line="276"/>
              <w:jc w:val="left"/>
            </w:pPr>
            <w:r>
              <w:rPr>
                <w:rFonts w:ascii="Times New Roman" w:hAnsi="Times New Roman" w:cs="Times New Roman" w:eastAsia="Times New Roman"/>
                <w:b w:val="false"/>
                <w:sz w:val="26"/>
              </w:rPr>
              <w:t>Điều lệ Đảng Cộng sản Việt Nam</w:t>
            </w:r>
          </w:p>
        </w:tc>
        <w:tc>
          <w:p/>
          <w:p>
            <w:pPr>
              <w:spacing w:after="0" w:before="0" w:lineRule="auto" w:line="276"/>
              <w:jc w:val="left"/>
            </w:pPr>
            <w:r>
              <w:rPr>
                <w:rFonts w:ascii="Times New Roman" w:hAnsi="Times New Roman" w:cs="Times New Roman" w:eastAsia="Times New Roman"/>
                <w:b w:val="false"/>
                <w:sz w:val="26"/>
              </w:rPr>
              <w:t>19-01-2011</w:t>
            </w:r>
          </w:p>
        </w:tc>
        <w:tc>
          <w:p/>
        </w:tc>
      </w:tr>
      <w:tr>
        <w:tc>
          <w:p/>
          <w:p>
            <w:pPr>
              <w:spacing w:after="0" w:before="0" w:lineRule="auto" w:line="276"/>
              <w:jc w:val="left"/>
            </w:pPr>
            <w:r>
              <w:rPr>
                <w:rFonts w:ascii="Times New Roman" w:hAnsi="Times New Roman" w:cs="Times New Roman" w:eastAsia="Times New Roman"/>
                <w:b w:val="false"/>
                <w:sz w:val="26"/>
              </w:rPr>
              <w:t>232-QĐ/TW</w:t>
            </w:r>
          </w:p>
        </w:tc>
        <w:tc>
          <w:p/>
          <w:p>
            <w:pPr>
              <w:spacing w:after="0" w:before="0" w:lineRule="auto" w:line="276"/>
              <w:jc w:val="left"/>
            </w:pPr>
            <w:r>
              <w:rPr>
                <w:rFonts w:ascii="Times New Roman" w:hAnsi="Times New Roman" w:cs="Times New Roman" w:eastAsia="Times New Roman"/>
                <w:b w:val="false"/>
                <w:sz w:val="26"/>
              </w:rPr>
              <w:t>Quy định số 232-QĐ/TW ngày 20/01/2025 của Ban Chấp hành Trung ương về thi hành Điều lệ Đảng</w:t>
            </w:r>
          </w:p>
        </w:tc>
        <w:tc>
          <w:p/>
          <w:p>
            <w:pPr>
              <w:spacing w:after="0" w:before="0" w:lineRule="auto" w:line="276"/>
              <w:jc w:val="left"/>
            </w:pPr>
            <w:r>
              <w:rPr>
                <w:rFonts w:ascii="Times New Roman" w:hAnsi="Times New Roman" w:cs="Times New Roman" w:eastAsia="Times New Roman"/>
                <w:b w:val="false"/>
                <w:sz w:val="26"/>
              </w:rPr>
              <w:t>20-01-2025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2026-05-20T04:42:58Z</dcterms:created>
  <dc:creator>Apache POI</dc:creator>
</cp:coreProperties>
</file>