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QĐ/0001-NHPTVN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vay vốn tín dụng đầu tư của nhà nước: Thẩm định dự án nhóm A,B,C\trường hợp thẩm định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Tín dụng của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đề nghị vay vốn tín dụng đầu tư nhà nước gửi hồ sơ vay vốn theo quy định đến VDB.
</w:t>
      </w:r>
    </w:p>
    <w:p>
      <w:pPr>
        <w:spacing w:after="0" w:before="0" w:lineRule="auto" w:line="276"/>
        <w:jc w:val="both"/>
      </w:pPr>
      <w:r>
        <w:rPr>
          <w:rFonts w:ascii="Times New Roman" w:hAnsi="Times New Roman" w:cs="Times New Roman" w:eastAsia="Times New Roman"/>
          <w:b w:val="false"/>
          <w:sz w:val="26"/>
        </w:rPr>
        <w:t>Bước 2:
 VDB sau khi xem xét hồ sơ hợp lệ, tiếp nhận hồ sơ và tổ chức thẩm định theo đúng quy định. 
Đối với các hồ sơ chưa hoàn chỉnh theo quy định; hoặc các nội dung cần làm rõ VDB có văn bản hoặc tổ chức làm việc trực tiếp với khách hàng đề nghị bổ sung hồ sơ hoặc giải trình.
</w:t>
      </w:r>
    </w:p>
    <w:p>
      <w:pPr>
        <w:spacing w:after="0" w:before="0" w:lineRule="auto" w:line="276"/>
        <w:jc w:val="both"/>
      </w:pPr>
      <w:r>
        <w:rPr>
          <w:rFonts w:ascii="Times New Roman" w:hAnsi="Times New Roman" w:cs="Times New Roman" w:eastAsia="Times New Roman"/>
          <w:b w:val="false"/>
          <w:sz w:val="26"/>
        </w:rPr>
        <w:t>
Bước 3: Sau khi thẩm định, VDB thông báo kết quả thẩm định dự án cho Chủ đầu tư trong thời gian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55 ngày làm việc đối với các dự án nhóm A, 45 ngày làm việc đối với các dự án nhóm B,C kể từ ngày nhận đủ hồ sơ theo quy định (chưa bao gồm thời gian khách hàng bổ sung, chỉnh sửa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55 ngày làm việc đối với các dự án nhóm A, 45 ngày làm việc đối với các dự án nhóm B,C kể từ ngày nhận đủ hồ sơ theo quy định (chưa bao gồm thời gian khách hàng bổ sung, chỉnh sửa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2. Hồ sơ dự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2.1. Đối với trường hợp dự án ở giai đoạn chuẩn bị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chủ trương đầu tư của cấp có thẩm quyền theo quy định của pháp luật về đầu tư; Giấy chứng nhận đăng ký đầu tư (trường hợp dự án bắt buộc phải có Giấy chứng nhận đăng ký đầu tư) - bản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nghiên cứu khả thi (hoặc Dự án đầu tư) được lập theo quy định hiện hành, trong đó thể hiện phương án tài chính, phương án trả nợ vốn vay VDB – bản chính; (Trường hợp theo quy định của Nhà nước không phải lập Báo cáo nghiên cứu khả thi, có thể thay bằng Báo cáo nghiên cứu kỹ thuật đầu tư xây dựng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có thẩm quyền thẩm định, phê duyệt về các nội dung có liên quan đến dự án đầu tư theo quy định hiện hành về quản lý đầu tư và xây dựng (bản sao), bao gồm các tài liệu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thông báo kết quả thẩm định thiết kế cơ sở của cơ quan chuyên môn của Nhà nước có thẩm quyền về xây dựng (đối với dự án có cấu phần xây dựng thuộc đối tượng phải trình duyệt thiết kế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thẩm tra của tư vấn có chuyên môn, năng lực đối với các nội dung trong Báo cáo nghiên cứu khả thi (ngoài các nội dung đã được thẩm định trong thiết kế cơ sở như: tổng mức đầu tư; hiệu quả dự án; dây chuyền công nghệ, thiết bị (đối với với dự án có công nghệ, thiết bị mới, đặc thù hoặc có giá trị thiết bị chiếm từ 40% tổng mức đầu tư trở lên)); (Nếu khách hàng vay vốn có bộ phận chuyên môn đủ năng lực, kinh nghiệm và chuyên môn theo quy định về tư vấn thẩm tra thì có thể tự thực hiện việc thẩm tra đối với các nội dung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Thỏa thuận của UBND tỉnh, thành phố trực thuộc TW về địa điểm xây dựng dự án; Quyết định giao đất hoặc cho thuê đất của UBND tỉnh, thành phố trực thuộc trung ương hoặc hợp đồng thuê đất hoặc Giấy chứng nhận quyền sử dụng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hồ sơ thủ tục khác (quy định đối với từng loại hình dự án – nếu có) mà cơ quan Nhà nước bắt buộc khách hàng vay vốn phải thực hiện tại giai đoạn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đầu tư (đối với dự án đã có Quyết định phê duyệt dự án đầu tư) - bản chính; - Các tài liệu khác liên quan đến dự án đầu tư (nếu có) -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2.2. Đối với trường hợp dự án ở giai đoạn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hồ sơ được quy định đối với dự án ở giai đoạn chuẩn bị dự án (điểm 2.1 nêu trên); - Báo cáo nghiên cứu khả thi điều chỉnh – bản chính (trường hợp có thay đổi so với báo cáo nghiên cứu khả thi phê duyệt lần đầu);  - Báo cáo tình hình thực hiện dự án  – bản chính; -Văn bản thẩm định thiết kế kỹ thuật, dự toán công trình của cơ quan chuyên môn về xây dựng của Nhà nước có thẩm quyền – bản sao (đối với dự án có cấu phần xây dựng thuộc đối tượng phải trình duyệt thiết kế kỹ thuật, dự toán); - Các hồ sơ thủ tục khác (quy định đối với từng loại hình dự án – nếu có) mà cơ quan Nhà nước bắt buộc khách hàng vay vốn phải thực hiện tại giai đoạn này – bản sao.</w:t>
            </w:r>
          </w:p>
        </w:tc>
        <w:tc>
          <w:p/>
          <w:p>
            <w:pPr>
              <w:spacing w:after="0" w:before="0" w:lineRule="auto" w:line="276"/>
              <w:jc w:val="left"/>
            </w:pPr>
            <w:r>
              <w:rPr>
                <w:rFonts w:ascii="Times New Roman" w:hAnsi="Times New Roman" w:cs="Times New Roman" w:eastAsia="Times New Roman"/>
                <w:b w:val="false"/>
                <w:sz w:val="26"/>
              </w:rPr>
              <w:t>Mẫu số 04.TĐDA. Báo cáo tình hình thực hiện dự 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Hồ sơ khách hàng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3.1. Hồ sơ pháp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Giấy chứng nhận đăng ký kinh doanh/Giấy chứng nhận đăng ký kinh doanh và đăng ký thuế; Giấy chứng nhận đầu tư (đối với khách hàng là doanh nghiệp có vốn đầu tư nước ngoài không đăng ký lại theo quy định của Luật doanh nghiệp) - bản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cấp có thẩm quyền trong doanh nghiệp (theo Điều lệ doanh nghiệp) quy định về quyền hạn, trách nhiệm của Người đại diện theo pháp luật trong giao dịch với VDB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hoặc Nghị quyết bầu/bổ nhiệm Chủ tịch HĐTV/Chủ tịch HĐQT, Tổng Giám đốc/ Giám đốc, Trưởng Ban quản trị/ Chủ nhiệm HTX, Kế toán trưởng/ Phụ trách kế toán, người đứng đầu đơn vị sự nghiệp – bản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đăng ký mẫu dấu và chữ ký người chịu trách nhiệm trước pháp luật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quyền/giao nhiệm vụ của cấp có thẩm quyền theo quy định trong trường hợp đơn vị hạch toán phụ thuộc được giao làm chủ thể vay vốn (hoặc làm đại diện của khách hàng vay vốn) –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Điều lệ của doanh nghiệp (bản lần đầu và các sửa đổi, bổ sung gần nhất) – bản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của khách hàng về người có liên quan – bản chính; các văn bản/ hồ sơ để xác định người có liên quan với khách hàng – bản sao y bản chính; - Các văn bản bản liên quan khác (nếu có) – bản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3.2. Hồ sơ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tài chính được lập và được kiểm toán theo quy định của pháp luật trong 2 năm gần nhất và báo cáo tình hình tài chính đến quý gần nhất (bản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nguồn vốn đầu tư dự án ngoài vốn vay VDB – bản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Nghị quyết của Đại hội đồng cổ đông/ Hội đồng quản trị/ Hội đồng thành viên/ chủ sở hữu vốn (đối với Công ty TNHH một thành viên)/ Nghị quyết đại hội thành viên (đối với Hợp tác xã) về việc đầu tư xây dựng dự án; phương án góp vốn phù hợp với Nghị quyết được thông qua đối với khách hàng vay vốn là đơn vị mới thành lập - bản sao 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năng lực khách hàng vay vốn và tình hình quan hệ tín dụng với các tổ chức tài chính, tín dụng– bản chính.</w:t>
            </w:r>
          </w:p>
        </w:tc>
        <w:tc>
          <w:p/>
          <w:p>
            <w:pPr>
              <w:spacing w:after="0" w:before="0" w:lineRule="auto" w:line="276"/>
              <w:jc w:val="left"/>
            </w:pPr>
            <w:r>
              <w:rPr>
                <w:rFonts w:ascii="Times New Roman" w:hAnsi="Times New Roman" w:cs="Times New Roman" w:eastAsia="Times New Roman"/>
                <w:b w:val="false"/>
                <w:sz w:val="26"/>
              </w:rPr>
              <w:t>Mẫu số 02.TĐDA. Báo cáo năng lực khách hàng vay vốn.docx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vay vốn tín dụng đầu tư của Nhà nước - bản chính;</w:t>
            </w:r>
          </w:p>
        </w:tc>
        <w:tc>
          <w:p/>
          <w:p>
            <w:pPr>
              <w:spacing w:after="0" w:before="0" w:lineRule="auto" w:line="276"/>
              <w:jc w:val="left"/>
            </w:pPr>
            <w:r>
              <w:rPr>
                <w:rFonts w:ascii="Times New Roman" w:hAnsi="Times New Roman" w:cs="Times New Roman" w:eastAsia="Times New Roman"/>
                <w:b w:val="false"/>
                <w:sz w:val="26"/>
              </w:rPr>
              <w:t>Mẫu số 01.TĐDA.đề nghị vay vốn.docx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dịch, Chi nhánh NHPT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giao dịch, Chi nhánh NHPT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tổng hợp kết quả thẩm định, Phiếu giao nhận hồ sơ dự án, Thông báo kết quả thẩm định, Thông báo cho vay vốn tín dụng đầu tư của Nhà nước, Văn bản thông báo kết quả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w:t>
            </w:r>
          </w:p>
        </w:tc>
        <w:tc>
          <w:p/>
          <w:p>
            <w:pPr>
              <w:spacing w:after="0" w:before="0" w:lineRule="auto" w:line="276"/>
              <w:jc w:val="left"/>
            </w:pPr>
            <w:r>
              <w:rPr>
                <w:rFonts w:ascii="Times New Roman" w:hAnsi="Times New Roman" w:cs="Times New Roman" w:eastAsia="Times New Roman"/>
                <w:b w:val="false"/>
                <w:sz w:val="26"/>
              </w:rPr>
              <w:t>Nghị định của Chính phủ về tín dụng đầu tư của Nhà nước</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Khách hàng có dự án thuộc Danh mục các dự án được vay vốn tín dụng đầu tư của Nhà nước ban hành kèm theo Nghị định số 32/2017/NĐ-CP ngày 31/03/2017 của Chính phủ;
- Khách hàng có đầy đủ năng lực pháp luật và thực hiện các thủ tục đầu tư theo quy định;
- Khách hàng có vốn chủ sở hữu tham gia trong quá trình thực hiện dự án tối thiểu 20% tổng mức vốn đầu tư dự án (không bao gồm vốn lưu động);
- Khách hàng không có nợ xấu tại các tổ chức tín dụng tại thời điểm VDB xem xét cho vay, giải ngân vốn vay;
- Khách hàng thực hiện chế độ hạch toán kế toán, lập báo cáo tài chính và kiểm toán báo cáo tài chính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2026-05-26T19:42:23Z</dcterms:created>
  <dc:creator>Apache POI</dc:creator>
</cp:coreProperties>
</file>