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1924a/QĐ-BQP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Thanh toán chi phí khám, chữa bệnh tại cơ sở dân y đối với công nhân viên chức quốc phòng, lao động hợp đồng có chỉ tiêu của Bộ Tổng Tham mưu, trong trường hợp phải xử lý cấp cứu do bị thương, tai nạn, các bệnh lý (nội, ngoại khoa, chuyên khoa), hoặc thai sản, hoặc tiêm phòng dại do địa bàn đóng quân thuộc vùng sâu, vùng xa giao thông đi lại khó khăn, xa cơ sở khám, chữa bệnh của quân đội hoặc cơ sở khám, chữa bệnh của quân đội không có chuyên khoa hay không đủ năng lực điều trị, phải giới thiệu ra cơ sở dân y để đảm bảo an toàn cho người bệnh - Trường hợp chi phí khám, chữa bệnh ở cơ sở dân y cao hơn mức quy định được hưởng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QUÂN SỰ, QUỐC PHÒNG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Quân y đơn vị chủ động liên hệ, hợp đồng, đăng ký với cơ sở dân y trong khu vực giới thiệu người bệnh đến khám, chữa bệnh tại cơ sở dân y.</w:t>
      </w:r>
    </w:p>
    <w:p>
      <w:pPr>
        <w:spacing w:after="0" w:before="0" w:lineRule="auto" w:line="276"/>
        <w:jc w:val="both"/>
      </w:pPr>
      <w:r>
        <w:rPr>
          <w:rFonts w:ascii="Times New Roman" w:hAnsi="Times New Roman" w:cs="Times New Roman" w:eastAsia="Times New Roman"/>
          <w:b w:val="false"/>
          <w:sz w:val="26"/>
        </w:rPr>
        <w:t>Đơn vị hoặc bệnh viện ứng tiền nộp viện phí cho người bệnh.</w:t>
      </w:r>
    </w:p>
    <w:p>
      <w:pPr>
        <w:spacing w:after="0" w:before="0" w:lineRule="auto" w:line="276"/>
        <w:jc w:val="both"/>
      </w:pPr>
      <w:r>
        <w:rPr>
          <w:rFonts w:ascii="Times New Roman" w:hAnsi="Times New Roman" w:cs="Times New Roman" w:eastAsia="Times New Roman"/>
          <w:b w:val="false"/>
          <w:sz w:val="26"/>
        </w:rPr>
        <w:t>Người khám, chữa bệnh tại cơ sở dân y nộp các giấy tờ (theo quy định) liên quan đến việc khám, chữa bệnh tại cơ sở dân y cho quân y đơn vị.</w:t>
      </w:r>
    </w:p>
    <w:p>
      <w:pPr>
        <w:spacing w:after="0" w:before="0" w:lineRule="auto" w:line="276"/>
        <w:jc w:val="both"/>
      </w:pPr>
      <w:r>
        <w:rPr>
          <w:rFonts w:ascii="Times New Roman" w:hAnsi="Times New Roman" w:cs="Times New Roman" w:eastAsia="Times New Roman"/>
          <w:b w:val="false"/>
          <w:sz w:val="26"/>
        </w:rPr>
        <w:t>Quân y đơn vị có công văn đề nghị trên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Trực tiếp làm thủ tục tại cơ quan, đơn vị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khám bệnh, hoặc giấy ra viện, hoặc sổ khám bệnh, chữa bệnh do cơ sở dân y cấp. Trường hợp bị chết phải có giấy chứng tử của bệnh viện nơi người bệnh khám bệnh, chữa bệnh và bị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thu viện phí, hoá đơn mua thuốc theo quy định của Bộ Tài chính, hợp đồng thuê vận chuyển, hoặc chứng từ thanh toán vận chuyển bệnh nhân đối với trường hợp vận chuyển bệnh nhân không do đơn vị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nghỉ ốm, phải khám bệnh, chữa bệnh tại cơ sở dân y do quân y đơn vị cấp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các trường hợp đang làm nhiệm vụ, hoặc đi công tác, hoặc nghỉ phép, hoặc do quá khả năng khám bệnh, chữa bệnh của cơ sở quân y thì phải kèm theo giấy công tác, hoặc giấy nghỉ phép, hoặc giấy giới thiệu đi khám bệnh, chữa bệnh của quân y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thẩm định thanh toán chi phí khám bệnh, chữa bệnh tại cơ sở dân 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của người bệnh đề nghị thanh toán chi phí khám bệnh, chữa bệnh tại cơ sở dân 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Quân y đơn vị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nhiệm Quân y cấp trực thuộc Bộ</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Phê duyệt</w:t>
      </w:r>
    </w:p>
    <w:p>
      <w:pPr>
        <w:spacing w:after="0" w:before="0" w:lineRule="auto" w:line="276"/>
        <w:jc w:val="both"/>
      </w:pPr>
      <w:r>
        <w:rPr>
          <w:rFonts w:ascii="Times New Roman" w:hAnsi="Times New Roman" w:cs="Times New Roman" w:eastAsia="Times New Roman"/>
          <w:b w:val="true"/>
          <w:sz w:val="26"/>
        </w:rPr>
        <w:t xml:space="preserve">Căn cứ pháp lý: </w:t>
      </w:r>
      <w:r>
        <w:rPr>
          <w:rFonts w:ascii="Times New Roman" w:hAnsi="Times New Roman" w:cs="Times New Roman" w:eastAsia="Times New Roman"/>
          <w:b w:val="false"/>
          <w:sz w:val="26"/>
        </w:rPr>
        <w:t>Không có thông tin</w:t>
      </w:r>
    </w:p>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2026-05-23T17:00:35Z</dcterms:created>
  <dc:creator>Apache POI</dc:creator>
</cp:coreProperties>
</file>