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chứng thư số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cấp giấy phép sử dụng chứng thư số nước ngoài tại Việt Nam nộp hồ sơ cấp giấy phép tại Bộ Thông tin và Truyền thông. Trong thời hạn 30 ngày làm việc tính từ ngày nhận đủ hồ sơ hợp lệ của tổ chức, cá nhân đề nghị cấp giấy phép sử dụng chứng thư số nước ngoài tại Việt Nam, Bộ Thông tin và Truyền thông thẩm tra hồ sơ.</w:t>
      </w:r>
    </w:p>
    <w:p>
      <w:pPr>
        <w:shd w:val="clear" w:color="auto" w:fill="F2F6F9"/>
        <w:spacing w:after="0" w:before="120" w:lineRule="auto" w:line="276"/>
        <w:jc w:val="both"/>
      </w:pPr>
      <w:r>
        <w:rPr>
          <w:rFonts w:ascii="Times New Roman" w:hAnsi="Times New Roman" w:cs="Times New Roman" w:eastAsia="Times New Roman"/>
          <w:b w:val="true"/>
          <w:sz w:val="26"/>
        </w:rPr>
        <w:t>Trường hợp hồ sơ đáp ứng đủ điều kiện theo quy định</w:t>
      </w:r>
    </w:p>
    <w:p>
      <w:pPr>
        <w:spacing w:after="0" w:before="0" w:lineRule="auto" w:line="276"/>
        <w:jc w:val="both"/>
      </w:pPr>
      <w:r>
        <w:rPr>
          <w:rFonts w:ascii="Times New Roman" w:hAnsi="Times New Roman" w:cs="Times New Roman" w:eastAsia="Times New Roman"/>
          <w:b w:val="false"/>
          <w:sz w:val="26"/>
        </w:rPr>
        <w:t>Bộ Thông tin và Truyền thông cấp giấy phép sử dụng chứng thư số nước ngoài tại Việt Nam. Mẫu giấy phép sử dụng chứng thư số nước ngoài tại Việt Nam quy định theo Mẫu số 15 tại Phụ lục ban hành kèm theo Nghị định số 130/2018/NĐ-CP.</w:t>
      </w:r>
    </w:p>
    <w:p>
      <w:pPr>
        <w:shd w:val="clear" w:color="auto" w:fill="F2F6F9"/>
        <w:spacing w:after="0" w:before="120" w:lineRule="auto" w:line="276"/>
        <w:jc w:val="both"/>
      </w:pPr>
      <w:r>
        <w:rPr>
          <w:rFonts w:ascii="Times New Roman" w:hAnsi="Times New Roman" w:cs="Times New Roman" w:eastAsia="Times New Roman"/>
          <w:b w:val="true"/>
          <w:sz w:val="26"/>
        </w:rPr>
        <w:t>Trường hợp không đáp ứng đủ điều kiện</w:t>
      </w:r>
    </w:p>
    <w:p>
      <w:pPr>
        <w:spacing w:after="0" w:before="0" w:lineRule="auto" w:line="276"/>
        <w:jc w:val="both"/>
      </w:pPr>
      <w:r>
        <w:rPr>
          <w:rFonts w:ascii="Times New Roman" w:hAnsi="Times New Roman" w:cs="Times New Roman" w:eastAsia="Times New Roman"/>
          <w:b w:val="false"/>
          <w:sz w:val="26"/>
        </w:rPr>
        <w:t xml:space="preserve"> Bộ Thông tin và Truyền thông có văn bản thông báo và nêu rõ lý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ngày làm việc kể từ ngày nhận đủ hồ sơ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ngày làm việc kể từ ngày nhận đủ hồ sơ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Đơn đề nghị cấp giấy phép sử dụng chứng thư số nước ngoài tại Việt Nam của thuê bao;</w:t>
            </w:r>
          </w:p>
        </w:tc>
        <w:tc>
          <w:p/>
          <w:p>
            <w:pPr>
              <w:spacing w:after="0" w:before="0" w:lineRule="auto" w:line="276"/>
              <w:jc w:val="left"/>
            </w:pPr>
            <w:r>
              <w:rPr>
                <w:rFonts w:ascii="Times New Roman" w:hAnsi="Times New Roman" w:cs="Times New Roman" w:eastAsia="Times New Roman"/>
                <w:b w:val="false"/>
                <w:sz w:val="26"/>
              </w:rPr>
              <w:t>Mẫu số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Các văn bản giải trình, chứng minh đáp ứng đủ điều kiện quy định tại Điều 46 Nghị định số 130/2018/NĐ-CP;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sao hợp lệ hợp đồng (hoặc thỏa thuận) sử dụng chứng thư số nước ngoài giữa thuê bao và tổ chức cung cấp chứng thư số nước ngoài hoặc văn bản chứng minh thuê bao là người sử dụng hợp pháp của chứng thư số nước ngoài;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cam kết việc sử dụng chứng thư số nước ngoài tại Việt Nam tuân thủ pháp luật Việt Nam về chữ ký số và dịch vụ chứng thực chữ ký số.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Chứng thực điện tử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chứng thư số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51/2005/QH11</w:t>
            </w:r>
          </w:p>
        </w:tc>
        <w:tc>
          <w:p/>
          <w:p>
            <w:pPr>
              <w:spacing w:after="0" w:before="0" w:lineRule="auto" w:line="276"/>
              <w:jc w:val="left"/>
            </w:pPr>
            <w:r>
              <w:rPr>
                <w:rFonts w:ascii="Times New Roman" w:hAnsi="Times New Roman" w:cs="Times New Roman" w:eastAsia="Times New Roman"/>
                <w:b w:val="false"/>
                <w:sz w:val="26"/>
              </w:rPr>
              <w:t>Luật 51/2005/QH11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130/2018/NĐ-CP</w:t>
            </w:r>
          </w:p>
        </w:tc>
        <w:tc>
          <w:p/>
          <w:p>
            <w:pPr>
              <w:spacing w:after="0" w:before="0" w:lineRule="auto" w:line="276"/>
              <w:jc w:val="left"/>
            </w:pPr>
            <w:r>
              <w:rPr>
                <w:rFonts w:ascii="Times New Roman" w:hAnsi="Times New Roman" w:cs="Times New Roman" w:eastAsia="Times New Roman"/>
                <w:b w:val="false"/>
                <w:sz w:val="26"/>
              </w:rPr>
              <w:t>Nghị định 130/2018/NĐ-CP</w:t>
            </w:r>
          </w:p>
        </w:tc>
        <w:tc>
          <w:p/>
          <w:p>
            <w:pPr>
              <w:spacing w:after="0" w:before="0" w:lineRule="auto" w:line="276"/>
              <w:jc w:val="left"/>
            </w:pPr>
            <w:r>
              <w:rPr>
                <w:rFonts w:ascii="Times New Roman" w:hAnsi="Times New Roman" w:cs="Times New Roman" w:eastAsia="Times New Roman"/>
                <w:b w:val="false"/>
                <w:sz w:val="26"/>
              </w:rPr>
              <w:t>27-09-2018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đề nghị cấp giấy phép sử dụng chứng thư số nước ngoài tại Việt Nam phải đáp ứng các điều kiện sau:
1. Đối với thuê bao sử dụng chứng thư số nước ngoài tại Việt Nam:
a) Thuộc đối tượng quy định tại Điều 44 Nghị định số 130/2018/NĐ-CP:
- Tổ chức, cá nhân nước ngoài tại Việt Nam.
- Tổ chức, cá nhân Việt Nam có nhu cầu giao dịch điện tử với đối tác nước ngoài mà chứng thư số của các tổ chức cung cấp dịch vụ chứng thực chữ ký số trong nước chưa được công nhận tại nước đó.
b) Có một trong các văn bản sau đây để xác thực thông tin trên chứng thư số:
- Giấy chứng nhận đăng ký doanh nghiệp hoặc giấy chứng nhận đầu tư hoặc quyết định thành lập hoặc quyết định quy định chức năng, nhiệm vụ, quyền hạn đối với tổ chức; chứng minh nhân dân hoặc căn cước công dân hoặc hộ chiếu đối với cá nhân;
- Văn bản của cơ quan có thẩm quyền cho phép tổ chức, cá nhân nước ngoài hoạt động hợp pháp tại Việt Nam đối với thuê bao là tổ chức, cá nhân nước ngoài;
- Trường hợp được ủy quyền sử dụng chứng thư số phải có ủy quyền cho phép hợp pháp sử dụng chứng thư số và thông tin thuê bao được cấp chứng thư số phải phù hợp với thông tin trong văn bản ủy quyền, cho phép.
2. Đối với tổ chức cung cấp dịch vụ chứng thực chữ ký số nước ngoài có chứng thư số được công nhận tại Việt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2026-05-09T14:52:54Z</dcterms:created>
  <dc:creator>Apache POI</dc:creator>
</cp:coreProperties>
</file>