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1.013820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2072/QĐ-BYT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Thành lập, tổ chức lại, giải thể cơ sở trợ giúp xã hội công lập thuộc Ủy ban nhân dân cấp tỉnh, cơ quan chuyên môn thuộc Ủy ban nhân dân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trợ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Cơ quan, tổ chức đề nghị thành lập, tổ chức lại, giải thể cơ sở gửi 01 bộ hồ sơ theo quy định đến Uỷ ban nhân dân cấp tỉnh.
- Bước 2: Trong thời hạn 10 (mười) ngày làm việc kể từ ngày nhận đủ hồ sơ hợp lệ, Uỷ ban nhân dân cấp tỉnh phải có văn bản thẩm định.
- Bước 3: Trong thời hạn 20 (hai mươi) ngày làm việc kể từ ngày có văn bản thẩm định, Chủ tịch Ủy ban nhân dân cấp tỉnh ra quyết định thành lập, quyết định tổ chức lại, giải thể. Trường hợp không đồng ý việc thành lập thì thông báo bằng văn bản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35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35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35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Thành lập cơ sở</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Đề án thành lập cơ sở theo  Mẫu số 02 tại Phụ lục ban hành kèm theo Nghị định số 103/2017/NĐ-CP</w:t>
            </w:r>
          </w:p>
        </w:tc>
        <w:tc>
          <w:p/>
          <w:p>
            <w:pPr>
              <w:spacing w:after="0" w:before="0" w:lineRule="auto" w:line="276"/>
              <w:jc w:val="left"/>
            </w:pPr>
            <w:r>
              <w:rPr>
                <w:rFonts w:ascii="Times New Roman" w:hAnsi="Times New Roman" w:cs="Times New Roman" w:eastAsia="Times New Roman"/>
                <w:b w:val="false"/>
                <w:sz w:val="26"/>
              </w:rPr>
              <w:t>Mus02.docx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trình đề nghị thành lập  cơ sở theo Mẫu số 01 tại Phụ lục ban hành kèm theo Nghị định số 103/2017/NĐ-CP; dự thảo quyết định thành lập cơ sở; dự thảo quy chế tổ chức và hoạt động của cơ sở theo Mẫu số 03a tại Phụ lục ban hành kèm theo Nghị định số 103/2017/NĐ-CP và các tài liệu khác có liên quan (giấy tờ đất đai, kinh phí, nguồn nhân lực).</w:t>
            </w:r>
          </w:p>
        </w:tc>
        <w:tc>
          <w:p/>
          <w:p>
            <w:pPr>
              <w:spacing w:after="0" w:before="0" w:lineRule="auto" w:line="276"/>
              <w:jc w:val="left"/>
            </w:pPr>
            <w:r>
              <w:rPr>
                <w:rFonts w:ascii="Times New Roman" w:hAnsi="Times New Roman" w:cs="Times New Roman" w:eastAsia="Times New Roman"/>
                <w:b w:val="false"/>
                <w:sz w:val="26"/>
              </w:rPr>
              <w:t>Mus01.docx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Ý kiến bằng văn bản của các cơ quan có liên quan về việc  thành lập đơn vị sự nghiệp công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giải trình việc tiếp thu ý kiến của các cơ quan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Tổ chức lại, giải thể cơ sở</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Đề án tổ chức lại, giải thể cơ sở  theo Mẫu số 05 tại  Phụ lục ban hành kèm theo Nghị định số 103/2017/NĐ-CP</w:t>
            </w:r>
          </w:p>
        </w:tc>
        <w:tc>
          <w:p/>
          <w:p>
            <w:pPr>
              <w:spacing w:after="0" w:before="0" w:lineRule="auto" w:line="276"/>
              <w:jc w:val="left"/>
            </w:pPr>
            <w:r>
              <w:rPr>
                <w:rFonts w:ascii="Times New Roman" w:hAnsi="Times New Roman" w:cs="Times New Roman" w:eastAsia="Times New Roman"/>
                <w:b w:val="false"/>
                <w:sz w:val="26"/>
              </w:rPr>
              <w:t>Mus05.docx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trình tổ chức lại, giải thể cơ sở  theo Mẫu số 04a tại  Phụ lục ban hành kèm theo Nghị định số 103/2017/NĐ-CP và dự thảo quyết định tổ chức lại, giải thể đơn vị sự nghiệp công lập</w:t>
            </w:r>
          </w:p>
        </w:tc>
        <w:tc>
          <w:p/>
          <w:p>
            <w:pPr>
              <w:spacing w:after="0" w:before="0" w:lineRule="auto" w:line="276"/>
              <w:jc w:val="left"/>
            </w:pPr>
            <w:r>
              <w:rPr>
                <w:rFonts w:ascii="Times New Roman" w:hAnsi="Times New Roman" w:cs="Times New Roman" w:eastAsia="Times New Roman"/>
                <w:b w:val="false"/>
                <w:sz w:val="26"/>
              </w:rPr>
              <w:t>Mus04a.docx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văn bản của cơ quan  có thẩm  quyền xác nhận việc hoàn thành nghĩa vụ về tài chính, tài sản, đất đai, các khoản vay, nợ phải trả và các vấn đề khác có liên quan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tỉnh và thành phố trực thuộc Trung 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thành lập cơ sở; Quyết định tổ chức lại, giải thể cơ sở trợ giúp xã hội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120/2020/NĐ-CP</w:t>
            </w:r>
          </w:p>
        </w:tc>
        <w:tc>
          <w:p/>
          <w:p>
            <w:pPr>
              <w:spacing w:after="0" w:before="0" w:lineRule="auto" w:line="276"/>
              <w:jc w:val="left"/>
            </w:pPr>
            <w:r>
              <w:rPr>
                <w:rFonts w:ascii="Times New Roman" w:hAnsi="Times New Roman" w:cs="Times New Roman" w:eastAsia="Times New Roman"/>
                <w:b w:val="false"/>
                <w:sz w:val="26"/>
              </w:rPr>
              <w:t>Nghị định 120/2020/NĐ-CP</w:t>
            </w:r>
          </w:p>
        </w:tc>
        <w:tc>
          <w:p/>
          <w:p>
            <w:pPr>
              <w:spacing w:after="0" w:before="0" w:lineRule="auto" w:line="276"/>
              <w:jc w:val="left"/>
            </w:pPr>
            <w:r>
              <w:rPr>
                <w:rFonts w:ascii="Times New Roman" w:hAnsi="Times New Roman" w:cs="Times New Roman" w:eastAsia="Times New Roman"/>
                <w:b w:val="false"/>
                <w:sz w:val="26"/>
              </w:rPr>
              <w:t>07-10-2020</w:t>
            </w:r>
          </w:p>
        </w:tc>
        <w:tc>
          <w:p/>
        </w:tc>
      </w:tr>
      <w:tr>
        <w:tc>
          <w:p/>
          <w:p>
            <w:pPr>
              <w:spacing w:after="0" w:before="0" w:lineRule="auto" w:line="276"/>
              <w:jc w:val="left"/>
            </w:pPr>
            <w:r>
              <w:rPr>
                <w:rFonts w:ascii="Times New Roman" w:hAnsi="Times New Roman" w:cs="Times New Roman" w:eastAsia="Times New Roman"/>
                <w:b w:val="false"/>
                <w:sz w:val="26"/>
              </w:rPr>
              <w:t>103/2017/NĐ-CP</w:t>
            </w:r>
          </w:p>
        </w:tc>
        <w:tc>
          <w:p/>
          <w:p>
            <w:pPr>
              <w:spacing w:after="0" w:before="0" w:lineRule="auto" w:line="276"/>
              <w:jc w:val="left"/>
            </w:pPr>
            <w:r>
              <w:rPr>
                <w:rFonts w:ascii="Times New Roman" w:hAnsi="Times New Roman" w:cs="Times New Roman" w:eastAsia="Times New Roman"/>
                <w:b w:val="false"/>
                <w:sz w:val="26"/>
              </w:rPr>
              <w:t>Nghị định 103/2017/NĐ-CP</w:t>
            </w:r>
          </w:p>
        </w:tc>
        <w:tc>
          <w:p/>
          <w:p>
            <w:pPr>
              <w:spacing w:after="0" w:before="0" w:lineRule="auto" w:line="276"/>
              <w:jc w:val="left"/>
            </w:pPr>
            <w:r>
              <w:rPr>
                <w:rFonts w:ascii="Times New Roman" w:hAnsi="Times New Roman" w:cs="Times New Roman" w:eastAsia="Times New Roman"/>
                <w:b w:val="false"/>
                <w:sz w:val="26"/>
              </w:rPr>
              <w:t>12-09-2017</w:t>
            </w:r>
          </w:p>
        </w:tc>
        <w:tc>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147/2025/NĐ-CP</w:t>
            </w:r>
          </w:p>
        </w:tc>
        <w:tc>
          <w:p/>
          <w:p>
            <w:pPr>
              <w:spacing w:after="0" w:before="0" w:lineRule="auto" w:line="276"/>
              <w:jc w:val="left"/>
            </w:pPr>
            <w:r>
              <w:rPr>
                <w:rFonts w:ascii="Times New Roman" w:hAnsi="Times New Roman" w:cs="Times New Roman" w:eastAsia="Times New Roman"/>
                <w:b w:val="false"/>
                <w:sz w:val="26"/>
              </w:rPr>
              <w:t>Nghị định số 147/2025/NĐ-CP của Chính phủ: Quy định về phân định thẩm quyền của chính quyền địa phương 02 cấp trong lĩnh vực quản lý nhà nước của Bộ Y tế</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Điều kiện thành lập cơ sở trợ giúp xã hội công lập
- Xác định cụ thể mục tiêu, chức năng, nhiệm vụ.
- Phù hợp với quy hoạch đã được cấp có thẩm quyền phê duyệt (nếu có).
- Có trụ sở làm việc hoặc đề án quy hoạch cấp đất xây dựng trụ sở đã được cấp có thẩm quyền phê duyệt (trường hợp xây dựng trụ sở mới); trang thiết bị cần thiết ban đầu; nguồn nhân sự và kinh phí hoạt động theo quy định của pháp luật.
2. Điều kiện tổ chức lại cơ sở:
- Thực hiện việc điều chỉnh về chức năng, nhiệm vụ, quyền hạn của cơ sở. 
- Phù hợp với quy hoạch đã được cấp có thẩm quyền phê duyệt (nếu có).
3. Điều kiện giải thể cơ sở:
Việc giải thể cơ sở được thực hiện khi có một trong các điều kiện sau:
- Không còn chức năng, nhiệm vụ.
- Ba năm liên tiếp không hoàn thành nhiệm vụ hoặc hoạt động không có hiệu quả theo đánh giá của cơ quan có thẩm quyền thành lập.
- Theo yêu cầu sắp xếp về tổ chức cơ sở để phù hợp với quy hoạch mạng lưới đã được cấp có thẩm quyền phê duyệt.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2026-04-30T14:45:51Z</dcterms:created>
  <dc:creator>Apache POI</dc:creator>
</cp:coreProperties>
</file>