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kiểm tra giám sát đối với cơ sở kiểm nghiệm thực phẩm đã đƣợc tổ chức công nhận hợp pháp của Việt Nam hoặc tổ chức công nhận nƣớc ngoài là thành viên tham gia thỏa thuận lẫn nhau của Hiệp hội công nhận phòng thí nhiệm Quốc tế, Hiệp hội công nhận phòng thí nghiệm Châu Á- Thái Bình Dƣơng đánh giá và cấp chứng chỉ công nhận theo Tiêu chuẩn quốc gia TCVN ISO/IEC 17025 hoặc Tiêu chuẩn quốc tế ISO/IEC 17025.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kiểm nghiệm đã được tổ chức công nhận hợp pháp của Việt Nam hoặc tổ chức công nhận nước ngoài là thành viên tham gia thỏa thuận lẫn nhau của Hiệp hội công nhận phòng thí nhiệm Quốc tế, Hiệp hội công nhận phòng thí nghiệm Châu Á- Thái Bình Dương đánh giá và cấp chứng chỉ công nhận theo Tiêu chuẩn quốc gia TCVN ISO/IEC 17025 hoặc Tiêu chuẩn quốc tế ISO/IEC 17025xin miễn kiểm tra giám sát gửi hồ sơ về cơ quan chuyên môn về y tế thuộc Ủy ban nhân dân cấp tỉnh hoặc cơ quan chuyên môn được Ủy ban nhân dân cấp tỉnh giao nhiệm vụ.
Bước 2: Trong thời hạn không quá 05 ngày làm việc, kể từ ngày nhận được hồ sơ đầy đủ và hợp lệ, cơ quan chuyên môn về y tế thuộc Ủy ban nhân dân cấp tỉnh hoặc cơ quan chuyên môn được Ủy ban nhân dân cấp tỉnh giao nhiệm vụ thẩm định hồ sơ và trả lời kết quả bằng văn bản cho cơ sở kiểm nghiệm.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miễn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giám sát của cơ quan công nhận hợp chuẩn Tiêu chuẩn quốc gia TCVN ISO/IEC 17025 hoặc Tiêu chuẩn quốc tế ISO/IEC 17025 (trong vòng mười hai (12) tháng kể từ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hoạt động trong vòng mười hai (12) tháng kể từ ngày nộp hồ sơ, trong đó nêu rõ kết quả tự đánh giá năng lực phân tích của cơ sở kiểm nghiệm so với quy định có liên quan của Bộ quản lý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An toàn thực phẩm - TP.HCM, 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hành chính trả lời cho cơ sở kiểm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w:t>
            </w:r>
          </w:p>
        </w:tc>
        <w:tc>
          <w:p/>
          <w:p>
            <w:pPr>
              <w:spacing w:after="0" w:before="0" w:lineRule="auto" w:line="276"/>
              <w:jc w:val="left"/>
            </w:pPr>
            <w:r>
              <w:rPr>
                <w:rFonts w:ascii="Times New Roman" w:hAnsi="Times New Roman" w:cs="Times New Roman" w:eastAsia="Times New Roman"/>
                <w:b w:val="false"/>
                <w:sz w:val="26"/>
              </w:rPr>
              <w:t>31-12-2008</w:t>
            </w:r>
          </w:p>
        </w:tc>
        <w:tc>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w:t>
            </w:r>
          </w:p>
        </w:tc>
        <w:tc>
          <w:p/>
          <w:p>
            <w:pPr>
              <w:spacing w:after="0" w:before="0" w:lineRule="auto" w:line="276"/>
              <w:jc w:val="left"/>
            </w:pPr>
            <w:r>
              <w:rPr>
                <w:rFonts w:ascii="Times New Roman" w:hAnsi="Times New Roman" w:cs="Times New Roman" w:eastAsia="Times New Roman"/>
                <w:b w:val="false"/>
                <w:sz w:val="26"/>
              </w:rPr>
              <w:t>01-08-2007</w:t>
            </w:r>
          </w:p>
        </w:tc>
        <w:tc>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kiểm nghiệm quy định tại Phần 8 Phụ lục 5 Nghị định số 148/2025/NĐ-CP đáp ứng đầy đủ các quy định tại khoản 1 Phần 7 Phụ lục 5 Nghị định số 148/2025/NĐ- CP và các quy định khác có liên quan theo quy định của Bộ quản lý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2026-04-30T11:07:45Z</dcterms:created>
  <dc:creator>Apache POI</dc:creator>
</cp:coreProperties>
</file>