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2.002783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2168/QĐ-BKHCN</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Cấp giấy phép sử dụng tần số và thiết bị vô tuyến điện đối với đài tàu (trừ đài tàu hoạt động tuyến quốc tế)</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Tần số vô tuyến điện</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Tổ chức, cá nhân hoàn thiện hồ sơ đề nghị cấp giấy phép sử dụng tần số và thiết bị vô tuyến điện đối với đài tàu (trừ đài tàu hoạt động tuyến quốc tế) theo quy định tại khoản 1 Mục VII Phụ lục II ban hành kèm theo Nghị định số 133/2025/NĐ-CP được sửa đổi, bổ sung bởi Nghị định số 15/2026/NĐ-CP và nộp hồ sơ đến Trung tâm Phục vụ hành chính công cấp tỉnh (Ủy ban nhân dân cấp tỉnh).
- Ủy ban nhân dân cấp tỉnh tiếp nhận, kiểm tra tính hợp lệ của hồ sơ. 
+ Trường hợp hồ sơ chưa đầy đủ, chưa đúng quy định thì trong thời hạn 05 ngày làm việc kể từ ngày nhận được hồ sơ, Ủy ban nhân dân cấp tỉnh có trách nhiệm thông báo, hướng dẫn cho tổ chức, cá nhân để bổ sung, hoàn thiện hồ sơ.
+ Trường hợp hồ sơ đầy đủ, đúng quy định, Ủy ban nhân dân cấp tỉnh cấp giấy phép sử dụng tần số và thiết bị vô tuyến điện đối với đài tàu (trừ đài tàu hoạt động tuyến quốc tế) hoặc từ chối cấp giấy phép và nêu rõ lý do trong thời hạn 11 ngày kể từ ngày nhận được hồ sơ đầy đủ, đúng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11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- 11 ngày kể từ ngày nhận được hồ sơ đầy đủ, đúng quy định.
- Nộp trực tiếp tại Trung tâm Phục vụ hành chính công cấp tỉnh (Ủy ban nhân dân cấp tỉnh).</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11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- 11 ngày kể từ ngày nhận được hồ sơ đầy đủ, đúng quy định.
- Nộp trực tuyến tại Cổng dịch vụ công quốc gia (https://dichvucong.gov.vn).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11 Ngày</w:t>
            </w:r>
          </w:p>
        </w:tc>
        <w:tc>
          <w:p/>
          <w:p>
            <w:pPr>
              <w:spacing w:after="0" w:before="0" w:lineRule="auto" w:line="276"/>
              <w:jc w:val="left"/>
            </w:pPr>
            <w:r>
              <w:rPr>
                <w:rFonts w:ascii="Times New Roman" w:hAnsi="Times New Roman" w:cs="Times New Roman" w:eastAsia="Times New Roman"/>
                <w:b w:val="false"/>
                <w:sz w:val="26"/>
              </w:rPr>
              <w:t>Phí :  Đồng</w:t>
              <w:t xml:space="preserve"> (Theo quy định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(Theo quy định của Bộ Tài chính)</w:t>
            </w:r>
          </w:p>
        </w:tc>
        <w:tc>
          <w:p/>
          <w:p>
            <w:pPr>
              <w:spacing w:after="0" w:before="0" w:lineRule="auto" w:line="276"/>
              <w:jc w:val="left"/>
            </w:pPr>
            <w:r>
              <w:rPr>
                <w:rFonts w:ascii="Times New Roman" w:hAnsi="Times New Roman" w:cs="Times New Roman" w:eastAsia="Times New Roman"/>
                <w:b w:val="false"/>
                <w:sz w:val="26"/>
              </w:rPr>
              <w:t>- 11 ngày kể từ ngày nhận được hồ sơ đầy đủ, đúng quy định.
- Nộp qua dịch vụ bưu chính tới Trung tâm Phục vụ hành chính công cấp tỉnh (Ủy ban nhân dân cấp tỉnh).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khai thông tin chung và Bản khai thông số kỹ thuật, khai thác 1h đối với đài tàu (trừ đài tàu hoạt động tuyến quốc tế) quy định tại khoản 1 và khoản 4 Phụ lục II.4 ban hành kèm theo Nghị định số 133/2025/NĐ-CP được sửa đổi, bổ sung bởi Nghị định số 15/2026/NĐ-CP</w:t>
            </w:r>
          </w:p>
        </w:tc>
        <w:tc>
          <w:p/>
          <w:p>
            <w:pPr>
              <w:spacing w:after="0" w:before="0" w:lineRule="auto" w:line="276"/>
              <w:jc w:val="left"/>
            </w:pPr>
            <w:r>
              <w:rPr>
                <w:rFonts w:ascii="Times New Roman" w:hAnsi="Times New Roman" w:cs="Times New Roman" w:eastAsia="Times New Roman"/>
                <w:b w:val="false"/>
                <w:sz w:val="26"/>
              </w:rPr>
              <w:t>maubankhaithongtinchung.docx</w:t>
            </w:r>
          </w:p>
          <w:p>
            <w:pPr>
              <w:spacing w:after="0" w:before="0" w:lineRule="auto" w:line="276"/>
              <w:jc w:val="left"/>
            </w:pPr>
            <w:r>
              <w:rPr>
                <w:rFonts w:ascii="Times New Roman" w:hAnsi="Times New Roman" w:cs="Times New Roman" w:eastAsia="Times New Roman"/>
                <w:b w:val="false"/>
                <w:sz w:val="26"/>
              </w:rPr>
              <w:t>BKmau1h_ND133.docx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tỉnh và thành phố trực thuộc Trung ương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tỉnh (Ủy ban nhân dân cấp tỉnh).</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phép sử dụng tần số và thiết bị vô tuyến điện (Mẫu 1h quy định tại khoản 7 Phụ lục II.4 ban hành kèm theo Nghị định số 133/2025/NĐ-CP)</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42/2009/QH12</w:t>
            </w:r>
          </w:p>
        </w:tc>
        <w:tc>
          <w:p/>
          <w:p>
            <w:pPr>
              <w:spacing w:after="0" w:before="0" w:lineRule="auto" w:line="276"/>
              <w:jc w:val="left"/>
            </w:pPr>
            <w:r>
              <w:rPr>
                <w:rFonts w:ascii="Times New Roman" w:hAnsi="Times New Roman" w:cs="Times New Roman" w:eastAsia="Times New Roman"/>
                <w:b w:val="false"/>
                <w:sz w:val="26"/>
              </w:rPr>
              <w:t>Luật 42/2009/QH12</w:t>
            </w:r>
          </w:p>
        </w:tc>
        <w:tc>
          <w:p/>
          <w:p>
            <w:pPr>
              <w:spacing w:after="0" w:before="0" w:lineRule="auto" w:line="276"/>
              <w:jc w:val="left"/>
            </w:pPr>
            <w:r>
              <w:rPr>
                <w:rFonts w:ascii="Times New Roman" w:hAnsi="Times New Roman" w:cs="Times New Roman" w:eastAsia="Times New Roman"/>
                <w:b w:val="false"/>
                <w:sz w:val="26"/>
              </w:rPr>
              <w:t>23-11-2009</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265/2016/TT-BTC</w:t>
            </w:r>
          </w:p>
        </w:tc>
        <w:tc>
          <w:p/>
          <w:p>
            <w:pPr>
              <w:spacing w:after="0" w:before="0" w:lineRule="auto" w:line="276"/>
              <w:jc w:val="left"/>
            </w:pPr>
            <w:r>
              <w:rPr>
                <w:rFonts w:ascii="Times New Roman" w:hAnsi="Times New Roman" w:cs="Times New Roman" w:eastAsia="Times New Roman"/>
                <w:b w:val="false"/>
                <w:sz w:val="26"/>
              </w:rPr>
              <w:t>Thông tư 265/2016/TT-BTC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11/2022/TT-BTC</w:t>
            </w:r>
          </w:p>
        </w:tc>
        <w:tc>
          <w:p/>
          <w:p>
            <w:pPr>
              <w:spacing w:after="0" w:before="0" w:lineRule="auto" w:line="276"/>
              <w:jc w:val="left"/>
            </w:pPr>
            <w:r>
              <w:rPr>
                <w:rFonts w:ascii="Times New Roman" w:hAnsi="Times New Roman" w:cs="Times New Roman" w:eastAsia="Times New Roman"/>
                <w:b w:val="false"/>
                <w:sz w:val="26"/>
              </w:rPr>
              <w:t>Thông tư số 11/2022/TT-BTC ngày 21/02/2022 của Bộ trưởng Bộ Tài chính</w:t>
            </w:r>
          </w:p>
        </w:tc>
        <w:tc>
          <w:p/>
          <w:p>
            <w:pPr>
              <w:spacing w:after="0" w:before="0" w:lineRule="auto" w:line="276"/>
              <w:jc w:val="left"/>
            </w:pPr>
            <w:r>
              <w:rPr>
                <w:rFonts w:ascii="Times New Roman" w:hAnsi="Times New Roman" w:cs="Times New Roman" w:eastAsia="Times New Roman"/>
                <w:b w:val="false"/>
                <w:sz w:val="26"/>
              </w:rPr>
              <w:t>21-02-2022</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09/2022/QH15</w:t>
            </w:r>
          </w:p>
        </w:tc>
        <w:tc>
          <w:p/>
          <w:p>
            <w:pPr>
              <w:spacing w:after="0" w:before="0" w:lineRule="auto" w:line="276"/>
              <w:jc w:val="left"/>
            </w:pPr>
            <w:r>
              <w:rPr>
                <w:rFonts w:ascii="Times New Roman" w:hAnsi="Times New Roman" w:cs="Times New Roman" w:eastAsia="Times New Roman"/>
                <w:b w:val="false"/>
                <w:sz w:val="26"/>
              </w:rPr>
              <w:t>Luật số 09/2022/QH15 của Quốc hội</w:t>
            </w:r>
          </w:p>
        </w:tc>
        <w:tc>
          <w:p/>
          <w:p>
            <w:pPr>
              <w:spacing w:after="0" w:before="0" w:lineRule="auto" w:line="276"/>
              <w:jc w:val="left"/>
            </w:pPr>
            <w:r>
              <w:rPr>
                <w:rFonts w:ascii="Times New Roman" w:hAnsi="Times New Roman" w:cs="Times New Roman" w:eastAsia="Times New Roman"/>
                <w:b w:val="false"/>
                <w:sz w:val="26"/>
              </w:rPr>
              <w:t>09-11-2022</w:t>
            </w:r>
          </w:p>
        </w:tc>
        <w:tc>
          <w:p/>
        </w:tc>
      </w:tr>
      <w:tr>
        <w:tc>
          <w:p/>
          <w:p>
            <w:pPr>
              <w:spacing w:after="0" w:before="0" w:lineRule="auto" w:line="276"/>
              <w:jc w:val="left"/>
            </w:pPr>
            <w:r>
              <w:rPr>
                <w:rFonts w:ascii="Times New Roman" w:hAnsi="Times New Roman" w:cs="Times New Roman" w:eastAsia="Times New Roman"/>
                <w:b w:val="false"/>
                <w:sz w:val="26"/>
              </w:rPr>
              <w:t>133/2025/NĐ-CP</w:t>
            </w:r>
          </w:p>
        </w:tc>
        <w:tc>
          <w:p/>
          <w:p>
            <w:pPr>
              <w:spacing w:after="0" w:before="0" w:lineRule="auto" w:line="276"/>
              <w:jc w:val="left"/>
            </w:pPr>
            <w:r>
              <w:rPr>
                <w:rFonts w:ascii="Times New Roman" w:hAnsi="Times New Roman" w:cs="Times New Roman" w:eastAsia="Times New Roman"/>
                <w:b w:val="false"/>
                <w:sz w:val="26"/>
              </w:rPr>
              <w:t>Quy định về phân quyền, phân cấp trong lĩnh vực quản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12-06-2025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15/2026/NĐ-CP</w:t>
            </w:r>
          </w:p>
        </w:tc>
        <w:tc>
          <w:p/>
          <w:p>
            <w:pPr>
              <w:spacing w:after="0" w:before="0" w:lineRule="auto" w:line="276"/>
              <w:jc w:val="left"/>
            </w:pPr>
            <w:r>
              <w:rPr>
                <w:rFonts w:ascii="Times New Roman" w:hAnsi="Times New Roman" w:cs="Times New Roman" w:eastAsia="Times New Roman"/>
                <w:b w:val="false"/>
                <w:sz w:val="26"/>
              </w:rPr>
              <w:t>Sửa đổi, bổ sung một số điều của các Nghị định để cắt giảm, đơn giản hóa thủ tục hành chính liên quan đến hoạt động sản xuất, kinh doanh thuộc phạm vi quân lý nhà nước của Bộ Khoa học và Công nghệ</w:t>
            </w:r>
          </w:p>
        </w:tc>
        <w:tc>
          <w:p/>
          <w:p>
            <w:pPr>
              <w:spacing w:after="0" w:before="0" w:lineRule="auto" w:line="276"/>
              <w:jc w:val="left"/>
            </w:pPr>
            <w:r>
              <w:rPr>
                <w:rFonts w:ascii="Times New Roman" w:hAnsi="Times New Roman" w:cs="Times New Roman" w:eastAsia="Times New Roman"/>
                <w:b w:val="false"/>
                <w:sz w:val="26"/>
              </w:rPr>
              <w:t>14-01-2026</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66.16/2026/NQ-CP</w:t>
            </w:r>
          </w:p>
        </w:tc>
        <w:tc>
          <w:p/>
          <w:p>
            <w:pPr>
              <w:spacing w:after="0" w:before="0" w:lineRule="auto" w:line="276"/>
              <w:jc w:val="left"/>
            </w:pPr>
            <w:r>
              <w:rPr>
                <w:rFonts w:ascii="Times New Roman" w:hAnsi="Times New Roman" w:cs="Times New Roman" w:eastAsia="Times New Roman"/>
                <w:b w:val="false"/>
                <w:sz w:val="26"/>
              </w:rPr>
              <w:t>Nghị quyết số 66.16/2026/NQ-CP ngày 07/4/2026 của Chính phủ về Cắt giảm, đơn giản hóa thủ tục hành chính, quy định liên quan đến hoạt động sản xuất, kinh doanh.</w:t>
            </w:r>
          </w:p>
        </w:tc>
        <w:tc>
          <w:p/>
          <w:p>
            <w:pPr>
              <w:spacing w:after="0" w:before="0" w:lineRule="auto" w:line="276"/>
              <w:jc w:val="left"/>
            </w:pPr>
            <w:r>
              <w:rPr>
                <w:rFonts w:ascii="Times New Roman" w:hAnsi="Times New Roman" w:cs="Times New Roman" w:eastAsia="Times New Roman"/>
                <w:b w:val="false"/>
                <w:sz w:val="26"/>
              </w:rPr>
              <w:t>07-04-2026</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2026-05-01T09:56:57Z</dcterms:created>
  <dc:creator>Apache POI</dc:creator>
</cp:coreProperties>
</file>