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doanh nghiệp công nghệ cao-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nộp hồ sơ đề nghị công nhận doanh nghiệp công nghệ cao. 
- Ủy ban nhân dân cấp tỉnh tổ chức tiếp nhận, thẩm định hồ sơ.</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hồ sơ hợp lệ, Ủy ban nhân dân cấp tỉnh tổ chức lấy ý kiến của các Sở, ban, ngành có liên quan.</w:t>
      </w:r>
    </w:p>
    <w:p>
      <w:pPr>
        <w:spacing w:after="0" w:before="0" w:lineRule="auto" w:line="276"/>
        <w:jc w:val="both"/>
      </w:pPr>
      <w:r>
        <w:rPr>
          <w:rFonts w:ascii="Times New Roman" w:hAnsi="Times New Roman" w:cs="Times New Roman" w:eastAsia="Times New Roman"/>
          <w:b w:val="false"/>
          <w:sz w:val="26"/>
        </w:rPr>
        <w:t>+ Trường hợp hồ sơ chưa đầy đủ thì Ủy ban nhân dân cấp tỉnh phải có công văn yêu cầu bổ sung, hoàn thiện hồ sơ gửi trực tiếp hoặc qua đường bưu điện cho doanh nghiệp đề nghị công nhận doanh nghiệp công nghệ cao. Trong thời hạn 10 ngày làm việc, kể từ ngày nhận được công văn yêu cầu của Ủy ban nhân dân cấp tỉnh, doanh nghiệp đề nghị cấp Giấy chứng nhận doanh nghiệp công nghệ cao có trách nhiệm bổ sung, sửa chữa và gửi lại Ủy ban nhân dân cấp tỉnh.</w:t>
      </w:r>
    </w:p>
    <w:p>
      <w:pPr>
        <w:spacing w:after="0" w:before="0" w:lineRule="auto" w:line="276"/>
        <w:jc w:val="both"/>
      </w:pPr>
      <w:r>
        <w:rPr>
          <w:rFonts w:ascii="Times New Roman" w:hAnsi="Times New Roman" w:cs="Times New Roman" w:eastAsia="Times New Roman"/>
          <w:b w:val="false"/>
          <w:sz w:val="26"/>
        </w:rPr>
        <w:t>+ Trong trường hợp cần thiết, Ủy ban nhân dân cấp tỉnh tổ chức cuộc họp với Bộ, ngành, Ủy ban nhân dân cấp tỉnh, thành phố trực thuộc trung ương có liên quan để làm rõ những vấn đề nêu trong hồ sơ đề nghị công nhận doanh nghiệp công nghệ cao.</w:t>
      </w:r>
    </w:p>
    <w:p>
      <w:pPr>
        <w:spacing w:after="0" w:before="0" w:lineRule="auto" w:line="276"/>
        <w:jc w:val="both"/>
      </w:pPr>
      <w:r>
        <w:rPr>
          <w:rFonts w:ascii="Times New Roman" w:hAnsi="Times New Roman" w:cs="Times New Roman" w:eastAsia="Times New Roman"/>
          <w:b w:val="false"/>
          <w:sz w:val="26"/>
        </w:rPr>
        <w:t>+ Trong thời hạn 20 ngày làm việc kể từ ngày nhận được hồ sơ đầy đủ, Ủy ban nhân dân cấp tỉnh có trách nhiệm thẩm định và cấp Giấy chứng nhận doanh nghiệp công nghệ cao và gửi cho doanh nghiệp. Trường hợp từ chối cấp Giấy chứng nhận doanh nghiệp công nghệ cao thì phải thông báo lý do bằng văn bản cho doanh nghiệp đề nghị công nhận doanh nghiệp công nghệ cao.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đầy đủ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đề nghị cấp Giấy chứng nhận doanh nghiệp công nghệ cao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công nhận doanh nghiệp công nghệ cao theo mẫu số B1-DNCNC tại Phụ lục VI Nghị định số 133/2025/NĐ-CP;</w:t>
            </w:r>
          </w:p>
        </w:tc>
        <w:tc>
          <w:p/>
          <w:p>
            <w:pPr>
              <w:spacing w:after="0" w:before="0" w:lineRule="auto" w:line="276"/>
              <w:jc w:val="left"/>
            </w:pPr>
            <w:r>
              <w:rPr>
                <w:rFonts w:ascii="Times New Roman" w:hAnsi="Times New Roman" w:cs="Times New Roman" w:eastAsia="Times New Roman"/>
                <w:b w:val="false"/>
                <w:sz w:val="26"/>
              </w:rPr>
              <w:t>BiuB1.3.docx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công chứng Giấy chứng nhận đăng ký doanh nghiệp hoặc Giấy chứng nhận đầu tư hoặc Giấy chứng nhận doanh nghiệp khoa học và công nghệ; Cơ quan tiếp nhận, giải quyết thủ tục hành chính khai thác, sử dụng thông tin đã có trong các cơ sở dữ liệu được cơ quan chủ quản cơ sở dữ liệu công bố để thay thế thành phần hồ sơ giải quyết thủ tục hành chính. Trường hợp không khai thác được thông tin hoặc thông tin khai thác được không đầy đủ, chính xác thì cơ quan, người có thẩm quyền tiếp nhận, giải quyết thủ tục hành chính yêu cầu cá nhân, tổ chức bổ sung thành phần hồ sơ để giải quyết thủ tục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thuyết minh doanh nghiệp đã đáp ứng các tiêu chí xác định doanh nghiệp công nghệ cao theo mẫu số B2-TMDNCNC tại Phụ lục VI Nghị định số 133/2025/NĐ-CP;</w:t>
            </w:r>
          </w:p>
        </w:tc>
        <w:tc>
          <w:p/>
          <w:p>
            <w:pPr>
              <w:spacing w:after="0" w:before="0" w:lineRule="auto" w:line="276"/>
              <w:jc w:val="left"/>
            </w:pPr>
            <w:r>
              <w:rPr>
                <w:rFonts w:ascii="Times New Roman" w:hAnsi="Times New Roman" w:cs="Times New Roman" w:eastAsia="Times New Roman"/>
                <w:b w:val="false"/>
                <w:sz w:val="26"/>
              </w:rPr>
              <w:t>BiuB2.3.docx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Số lượng hồ sơ: 02 bộ, trong đó có 01 một bộ hồ sơ gốc và 01 bộ hồ sơ phô tô;</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doanh nghiệp công nghệ cao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55/2010/QĐ-TTg</w:t>
            </w:r>
          </w:p>
        </w:tc>
        <w:tc>
          <w:p/>
          <w:p>
            <w:pPr>
              <w:spacing w:after="0" w:before="0" w:lineRule="auto" w:line="276"/>
              <w:jc w:val="left"/>
            </w:pPr>
            <w:r>
              <w:rPr>
                <w:rFonts w:ascii="Times New Roman" w:hAnsi="Times New Roman" w:cs="Times New Roman" w:eastAsia="Times New Roman"/>
                <w:b w:val="false"/>
                <w:sz w:val="26"/>
              </w:rPr>
              <w:t>Quyết định 55/2010/QĐ-TTg-Thẩm quyền, trình tự, thủ tục chứng nhận tổ chức, cá nhân hoạt động ứng dụng công nghệ cao, chứng nhận tổ chức, cá nhân nghiên cứu và phát triển công nghệ cao và công nhận doanh nghiệp công nghệ cao</w:t>
            </w:r>
          </w:p>
        </w:tc>
        <w:tc>
          <w:p/>
          <w:p>
            <w:pPr>
              <w:spacing w:after="0" w:before="0" w:lineRule="auto" w:line="276"/>
              <w:jc w:val="left"/>
            </w:pPr>
            <w:r>
              <w:rPr>
                <w:rFonts w:ascii="Times New Roman" w:hAnsi="Times New Roman" w:cs="Times New Roman" w:eastAsia="Times New Roman"/>
                <w:b w:val="false"/>
                <w:sz w:val="26"/>
              </w:rPr>
              <w:t>10-09-2010</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32/2011/TT-BKHCN</w:t>
            </w:r>
          </w:p>
        </w:tc>
        <w:tc>
          <w:p/>
          <w:p>
            <w:pPr>
              <w:spacing w:after="0" w:before="0" w:lineRule="auto" w:line="276"/>
              <w:jc w:val="left"/>
            </w:pPr>
            <w:r>
              <w:rPr>
                <w:rFonts w:ascii="Times New Roman" w:hAnsi="Times New Roman" w:cs="Times New Roman" w:eastAsia="Times New Roman"/>
                <w:b w:val="false"/>
                <w:sz w:val="26"/>
              </w:rPr>
              <w:t>Thông tư 32/2011/TT-BKHCN- Quy định về việc xác định tiêu chí dự án ứng dụng công nghệ cao, dự án đầu tư sản xuất sản phẩm công nghệ cao và thẩm định hồ sơ đề nghị cấp Giấy chứng nhận hoạt động ứng dụng công nghệ cao, doanh nghiệp thành lập mới từ dự án đầu tư sản xuất sản phẩm công nghệ cao, doanh nghiệp công nghệ cao</w:t>
            </w:r>
          </w:p>
        </w:tc>
        <w:tc>
          <w:p/>
          <w:p>
            <w:pPr>
              <w:spacing w:after="0" w:before="0" w:lineRule="auto" w:line="276"/>
              <w:jc w:val="left"/>
            </w:pPr>
            <w:r>
              <w:rPr>
                <w:rFonts w:ascii="Times New Roman" w:hAnsi="Times New Roman" w:cs="Times New Roman" w:eastAsia="Times New Roman"/>
                <w:b w:val="false"/>
                <w:sz w:val="26"/>
              </w:rPr>
              <w:t>15-11-2011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21/2008/QH12</w:t>
            </w:r>
          </w:p>
        </w:tc>
        <w:tc>
          <w:p/>
          <w:p>
            <w:pPr>
              <w:spacing w:after="0" w:before="0" w:lineRule="auto" w:line="276"/>
              <w:jc w:val="left"/>
            </w:pPr>
            <w:r>
              <w:rPr>
                <w:rFonts w:ascii="Times New Roman" w:hAnsi="Times New Roman" w:cs="Times New Roman" w:eastAsia="Times New Roman"/>
                <w:b w:val="false"/>
                <w:sz w:val="26"/>
              </w:rPr>
              <w:t>Luật công nghệ cao</w:t>
            </w:r>
          </w:p>
        </w:tc>
        <w:tc>
          <w:p/>
          <w:p>
            <w:pPr>
              <w:spacing w:after="0" w:before="0" w:lineRule="auto" w:line="276"/>
              <w:jc w:val="left"/>
            </w:pPr>
            <w:r>
              <w:rPr>
                <w:rFonts w:ascii="Times New Roman" w:hAnsi="Times New Roman" w:cs="Times New Roman" w:eastAsia="Times New Roman"/>
                <w:b w:val="false"/>
                <w:sz w:val="26"/>
              </w:rPr>
              <w:t>13-11-2008</w:t>
            </w:r>
          </w:p>
        </w:tc>
        <w:tc>
          <w:p/>
        </w:tc>
      </w:tr>
      <w:tr>
        <w:tc>
          <w:p/>
          <w:p>
            <w:pPr>
              <w:spacing w:after="0" w:before="0" w:lineRule="auto" w:line="276"/>
              <w:jc w:val="left"/>
            </w:pPr>
            <w:r>
              <w:rPr>
                <w:rFonts w:ascii="Times New Roman" w:hAnsi="Times New Roman" w:cs="Times New Roman" w:eastAsia="Times New Roman"/>
                <w:b w:val="false"/>
                <w:sz w:val="26"/>
              </w:rPr>
              <w:t>38/2020/QĐ-TTg</w:t>
            </w:r>
          </w:p>
        </w:tc>
        <w:tc>
          <w:p/>
          <w:p>
            <w:pPr>
              <w:spacing w:after="0" w:before="0" w:lineRule="auto" w:line="276"/>
              <w:jc w:val="left"/>
            </w:pPr>
            <w:r>
              <w:rPr>
                <w:rFonts w:ascii="Times New Roman" w:hAnsi="Times New Roman" w:cs="Times New Roman" w:eastAsia="Times New Roman"/>
                <w:b w:val="false"/>
                <w:sz w:val="26"/>
              </w:rPr>
              <w:t>Quyết định 38/2020/QĐ-TTg</w:t>
            </w:r>
          </w:p>
        </w:tc>
        <w:tc>
          <w:p/>
          <w:p>
            <w:pPr>
              <w:spacing w:after="0" w:before="0" w:lineRule="auto" w:line="276"/>
              <w:jc w:val="left"/>
            </w:pPr>
            <w:r>
              <w:rPr>
                <w:rFonts w:ascii="Times New Roman" w:hAnsi="Times New Roman" w:cs="Times New Roman" w:eastAsia="Times New Roman"/>
                <w:b w:val="false"/>
                <w:sz w:val="26"/>
              </w:rPr>
              <w:t>30-12-2020</w:t>
            </w:r>
          </w:p>
        </w:tc>
        <w:tc>
          <w:p/>
        </w:tc>
      </w:tr>
      <w:tr>
        <w:tc>
          <w:p/>
          <w:p>
            <w:pPr>
              <w:spacing w:after="0" w:before="0" w:lineRule="auto" w:line="276"/>
              <w:jc w:val="left"/>
            </w:pPr>
            <w:r>
              <w:rPr>
                <w:rFonts w:ascii="Times New Roman" w:hAnsi="Times New Roman" w:cs="Times New Roman" w:eastAsia="Times New Roman"/>
                <w:b w:val="false"/>
                <w:sz w:val="26"/>
              </w:rPr>
              <w:t>10/2021/QĐ-TTg</w:t>
            </w:r>
          </w:p>
        </w:tc>
        <w:tc>
          <w:p/>
          <w:p>
            <w:pPr>
              <w:spacing w:after="0" w:before="0" w:lineRule="auto" w:line="276"/>
              <w:jc w:val="left"/>
            </w:pPr>
            <w:r>
              <w:rPr>
                <w:rFonts w:ascii="Times New Roman" w:hAnsi="Times New Roman" w:cs="Times New Roman" w:eastAsia="Times New Roman"/>
                <w:b w:val="false"/>
                <w:sz w:val="26"/>
              </w:rPr>
              <w:t>Quyết định 10/2021/QĐ-TTg</w:t>
            </w:r>
          </w:p>
        </w:tc>
        <w:tc>
          <w:p/>
          <w:p>
            <w:pPr>
              <w:spacing w:after="0" w:before="0" w:lineRule="auto" w:line="276"/>
              <w:jc w:val="left"/>
            </w:pPr>
            <w:r>
              <w:rPr>
                <w:rFonts w:ascii="Times New Roman" w:hAnsi="Times New Roman" w:cs="Times New Roman" w:eastAsia="Times New Roman"/>
                <w:b w:val="false"/>
                <w:sz w:val="26"/>
              </w:rPr>
              <w:t>16-03-2021</w:t>
            </w:r>
          </w:p>
        </w:tc>
        <w:tc>
          <w:p/>
        </w:tc>
      </w:tr>
      <w:tr>
        <w:tc>
          <w:p/>
          <w:p>
            <w:pPr>
              <w:spacing w:after="0" w:before="0" w:lineRule="auto" w:line="276"/>
              <w:jc w:val="left"/>
            </w:pPr>
            <w:r>
              <w:rPr>
                <w:rFonts w:ascii="Times New Roman" w:hAnsi="Times New Roman" w:cs="Times New Roman" w:eastAsia="Times New Roman"/>
                <w:b w:val="false"/>
                <w:sz w:val="26"/>
              </w:rPr>
              <w:t>04/2020/TT-BKHCN</w:t>
            </w:r>
          </w:p>
        </w:tc>
        <w:tc>
          <w:p/>
          <w:p>
            <w:pPr>
              <w:spacing w:after="0" w:before="0" w:lineRule="auto" w:line="276"/>
              <w:jc w:val="left"/>
            </w:pPr>
            <w:r>
              <w:rPr>
                <w:rFonts w:ascii="Times New Roman" w:hAnsi="Times New Roman" w:cs="Times New Roman" w:eastAsia="Times New Roman"/>
                <w:b w:val="false"/>
                <w:sz w:val="26"/>
              </w:rPr>
              <w:t>Thông tư 04/2020/TT-BKHCN</w:t>
            </w:r>
          </w:p>
        </w:tc>
        <w:tc>
          <w:p/>
          <w:p>
            <w:pPr>
              <w:spacing w:after="0" w:before="0" w:lineRule="auto" w:line="276"/>
              <w:jc w:val="left"/>
            </w:pPr>
            <w:r>
              <w:rPr>
                <w:rFonts w:ascii="Times New Roman" w:hAnsi="Times New Roman" w:cs="Times New Roman" w:eastAsia="Times New Roman"/>
                <w:b w:val="false"/>
                <w:sz w:val="26"/>
              </w:rPr>
              <w:t>28-09-2020</w:t>
            </w:r>
          </w:p>
        </w:tc>
        <w:tc>
          <w:p/>
        </w:tc>
      </w:tr>
      <w:tr>
        <w:tc>
          <w:p/>
          <w:p>
            <w:pPr>
              <w:spacing w:after="0" w:before="0" w:lineRule="auto" w:line="276"/>
              <w:jc w:val="left"/>
            </w:pPr>
            <w:r>
              <w:rPr>
                <w:rFonts w:ascii="Times New Roman" w:hAnsi="Times New Roman" w:cs="Times New Roman" w:eastAsia="Times New Roman"/>
                <w:b w:val="false"/>
                <w:sz w:val="26"/>
              </w:rPr>
              <w:t>15/2023/TT-BKHCN</w:t>
            </w:r>
          </w:p>
        </w:tc>
        <w:tc>
          <w:p/>
          <w:p>
            <w:pPr>
              <w:spacing w:after="0" w:before="0" w:lineRule="auto" w:line="276"/>
              <w:jc w:val="left"/>
            </w:pPr>
            <w:r>
              <w:rPr>
                <w:rFonts w:ascii="Times New Roman" w:hAnsi="Times New Roman" w:cs="Times New Roman" w:eastAsia="Times New Roman"/>
                <w:b w:val="false"/>
                <w:sz w:val="26"/>
              </w:rPr>
              <w:t>Thông tư số 15/2023/TT-BKHCN - Sửa đổi, bổ sung một số điều của Thông tư số 32/2011/TT-BKHCN và Thông tư số 03/2014/TT-BKHCN</w:t>
            </w:r>
          </w:p>
        </w:tc>
        <w:tc>
          <w:p/>
          <w:p>
            <w:pPr>
              <w:spacing w:after="0" w:before="0" w:lineRule="auto" w:line="276"/>
              <w:jc w:val="left"/>
            </w:pPr>
            <w:r>
              <w:rPr>
                <w:rFonts w:ascii="Times New Roman" w:hAnsi="Times New Roman" w:cs="Times New Roman" w:eastAsia="Times New Roman"/>
                <w:b w:val="false"/>
                <w:sz w:val="26"/>
              </w:rPr>
              <w:t>26-07-2023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điều kiện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2026-05-24T16:08:05Z</dcterms:created>
  <dc:creator>Apache POI</dc:creator>
</cp:coreProperties>
</file>