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1.013955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2075/QĐ-BKHCN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Thủ tục đăng ký dự kiểm tra nghiệp vụ đại diện sở hữu công nghiệp</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Sở hữu trí tuệ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Tiếp nhận hồ sơ
Cá nhân đăng ký dự kiểm tra nghiệp vụ đại diện sở hữu công nghiệp nộp 01 bộ hồ sơ đăng ký dự kiểm tra đến Trung tâm Phục vụ hành chính công cấp tỉnh thuộc Uỷ ban nhân dân tỉnh, thành phố trực thuộc trung ương).
Bước 2: Thẩm định hồ sơ
Hồ sơ đăng ký dự kiểm tra được Ủy ban nhân dân tỉnh, thành phố trực thuộc trung ương xử lý trong thời hạn 13 ngày làm việc kể từ ngày nhận hồ sơ theo trình tự như sau:
- Trường hợp hồ sơ hợp lệ, Ủy ban nhân dân tỉnh, thành phố trực thuộc trung ương thông báo cho người nộp hồ sơ về việc đủ điều kiện tham dự kỳ kiểm tra, đồng thời thông báo về dự kiến thời gian, địa điểm, lịch kiểm tra;
- Trường hợp hồ sơ không hợp lệ, Ủy ban nhân dân tỉnh, thành phố trực thuộc trung ương thông báo các thiếu sót của hồ sơ và ấn định thời hạn 30 ngày kể từ ngày ra thông báo để người nộp hồ sơ sửa chữa thiếu sót; 
- Trường hợp người nộp hồ sơ không sửa chữa thiếu sót hoặc sửa chữa thiếu sót không đạt yêu cầu, Ủy ban nhân dân tỉnh, thành phố trực thuộc trung ương ra quyết định từ chối chấp nhận đơn đăng ký dự kiểm tra, trong đó nêu rõ lý do từ chối.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13 Ngày làm việc</w:t>
            </w:r>
          </w:p>
        </w:tc>
        <w:tc>
          <w:p/>
          <w:p>
            <w:pPr>
              <w:spacing w:after="0" w:before="0" w:lineRule="auto" w:line="276"/>
              <w:jc w:val="left"/>
            </w:pPr>
            <w:r>
              <w:rPr>
                <w:rFonts w:ascii="Times New Roman" w:hAnsi="Times New Roman" w:cs="Times New Roman" w:eastAsia="Times New Roman"/>
                <w:b w:val="false"/>
                <w:sz w:val="26"/>
              </w:rPr>
              <w:t>Phí : 150000 Đồng</w:t>
              <w:t xml:space="preserve"> (Phí phúc tra kiểm tra kết quả nghiệp vụ đại diện sở hữu công nghiệp (mỗi môn))</w:t>
            </w:r>
          </w:p>
          <w:p>
            <w:pPr>
              <w:spacing w:after="0" w:before="0" w:lineRule="auto" w:line="276"/>
              <w:jc w:val="left"/>
            </w:pPr>
            <w:r>
              <w:rPr>
                <w:rFonts w:ascii="Times New Roman" w:hAnsi="Times New Roman" w:cs="Times New Roman" w:eastAsia="Times New Roman"/>
                <w:b w:val="false"/>
                <w:sz w:val="26"/>
              </w:rPr>
              <w:t>Phí : 300000 Đồng</w:t>
              <w:t xml:space="preserve"> (Phí thẩm định hồ sơ kiểm tra nghiệp vụ đại diện sở hữu công nghiệp (mỗi môn))</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khai đăng ký dự kiểm tratheo Mẫu số 09 tại Phụ lục I Nghị định số 100/2026/NĐ-CP ngày 31 tháng 3 năm 2026 của Chính phủ</w:t>
            </w:r>
          </w:p>
        </w:tc>
        <w:tc>
          <w:p/>
          <w:p>
            <w:pPr>
              <w:spacing w:after="0" w:before="0" w:lineRule="auto" w:line="276"/>
              <w:jc w:val="left"/>
            </w:pPr>
            <w:r>
              <w:rPr>
                <w:rFonts w:ascii="Times New Roman" w:hAnsi="Times New Roman" w:cs="Times New Roman" w:eastAsia="Times New Roman"/>
                <w:b w:val="false"/>
                <w:sz w:val="26"/>
              </w:rPr>
              <w:t>Mus09.docx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Bản sao bằng cử nhân hoặc văn bằng trình độ tương đương quy định tại điểm c khoản 2 Điều 155 của Luật Sở hữu trí tuệ.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giấy chứng nhận tốt nghiệp khóa đào tạo pháp luật về sở hữu công nghiệp theo quy định của Bộ trưởng Bộ Khoa học và Công nghệ (xuất trình bản chính để đối chiếu, trừ trường hợp bản sao đã được chứng thực); hoặc bản sao quyết định tuyển dụng hoặc hợp đồng lao động và tài liệu khác (có xác nhận của cơ quan, tổ chức nơi công tác) chứng minh thời gian ít nhất 05 năm trực tiếp làm công tác thẩm định đơn đăng ký sở hữu công nghiệp tại cơ quan quốc gia hoặc quốc tế về sở hữu công nghiệp hoặc công tác pháp luật về sở hữu công nghiệp quy định tại điểm d khoản 2 Điều 155 của Luật Sở hữu trí tuệ, bao gồm công tác thanh tra, kiểm tra, kiểm sát, xét xử, pháp chế, tư vấn pháp luật, quản lý nhà nước về sở hữu công nghiệp; nghiên cứu khoa học (có chức danh nghiên cứu viên) và giảng dạy về sở hữu công nghiệp (xuất trình bản chính để đối chiếu, trừ trường hợp bản sao đã được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Ảnh chân dung của người đăng ký dự kiểm tra nghiệp vụ đại diện sở hữu công nghiệp cỡ 3 x 4 (cm) (trong trường hợp nộp hồ sơ giấy thì phải nộp 02 ảnh);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Bản sao chứng từ/ bằng chứng về việc nộp phí, lệ phí (trường hợp nộp phí, lệ phí qua dịch vụ bưu chính hoặc nộp trực tiếp vào tài khoản của cơ quan tiếp nhận hồ sơ về quyền sở hữu công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đủ điều kiện tham dự kỳ kiểm tra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50/2005/QH11</w:t>
            </w:r>
          </w:p>
        </w:tc>
        <w:tc>
          <w:p/>
          <w:p>
            <w:pPr>
              <w:spacing w:after="0" w:before="0" w:lineRule="auto" w:line="276"/>
              <w:jc w:val="left"/>
            </w:pPr>
            <w:r>
              <w:rPr>
                <w:rFonts w:ascii="Times New Roman" w:hAnsi="Times New Roman" w:cs="Times New Roman" w:eastAsia="Times New Roman"/>
                <w:b w:val="false"/>
                <w:sz w:val="26"/>
              </w:rPr>
              <w:t>50/2005/QH11 - Luật Sở hữu trí tuệ</w:t>
            </w:r>
          </w:p>
        </w:tc>
        <w:tc>
          <w:p/>
          <w:p>
            <w:pPr>
              <w:spacing w:after="0" w:before="0" w:lineRule="auto" w:line="276"/>
              <w:jc w:val="left"/>
            </w:pPr>
            <w:r>
              <w:rPr>
                <w:rFonts w:ascii="Times New Roman" w:hAnsi="Times New Roman" w:cs="Times New Roman" w:eastAsia="Times New Roman"/>
                <w:b w:val="false"/>
                <w:sz w:val="26"/>
              </w:rPr>
              <w:t>29-11-2005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36/2009/QH12</w:t>
            </w:r>
          </w:p>
        </w:tc>
        <w:tc>
          <w:p/>
          <w:p>
            <w:pPr>
              <w:spacing w:after="0" w:before="0" w:lineRule="auto" w:line="276"/>
              <w:jc w:val="left"/>
            </w:pPr>
            <w:r>
              <w:rPr>
                <w:rFonts w:ascii="Times New Roman" w:hAnsi="Times New Roman" w:cs="Times New Roman" w:eastAsia="Times New Roman"/>
                <w:b w:val="false"/>
                <w:sz w:val="26"/>
              </w:rPr>
              <w:t>36/2009/QH12 -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19-06-2009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263/2016/TT-BTC</w:t>
            </w:r>
          </w:p>
        </w:tc>
        <w:tc>
          <w:p/>
          <w:p>
            <w:pPr>
              <w:spacing w:after="0" w:before="0" w:lineRule="auto" w:line="276"/>
              <w:jc w:val="left"/>
            </w:pPr>
            <w:r>
              <w:rPr>
                <w:rFonts w:ascii="Times New Roman" w:hAnsi="Times New Roman" w:cs="Times New Roman" w:eastAsia="Times New Roman"/>
                <w:b w:val="false"/>
                <w:sz w:val="26"/>
              </w:rPr>
              <w:t>263/2016/TT-BTC - Thông tư quy định mức thu, chế độ thu, nộp, quản lý và sử dụng phí, lệ phí sở hữu công nghiệp</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42/2019/QH14</w:t>
            </w:r>
          </w:p>
        </w:tc>
        <w:tc>
          <w:p/>
          <w:p>
            <w:pPr>
              <w:spacing w:after="0" w:before="0" w:lineRule="auto" w:line="276"/>
              <w:jc w:val="left"/>
            </w:pPr>
            <w:r>
              <w:rPr>
                <w:rFonts w:ascii="Times New Roman" w:hAnsi="Times New Roman" w:cs="Times New Roman" w:eastAsia="Times New Roman"/>
                <w:b w:val="false"/>
                <w:sz w:val="26"/>
              </w:rPr>
              <w:t>42/2019/QH14 - Luật Sửa đổi, bổ sung một số điều của Luật Kinh doanh bảo hiểm, Luật Sở hữu trí tuệ</w:t>
            </w:r>
          </w:p>
        </w:tc>
        <w:tc>
          <w:p/>
          <w:p>
            <w:pPr>
              <w:spacing w:after="0" w:before="0" w:lineRule="auto" w:line="276"/>
              <w:jc w:val="left"/>
            </w:pPr>
            <w:r>
              <w:rPr>
                <w:rFonts w:ascii="Times New Roman" w:hAnsi="Times New Roman" w:cs="Times New Roman" w:eastAsia="Times New Roman"/>
                <w:b w:val="false"/>
                <w:sz w:val="26"/>
              </w:rPr>
              <w:t>14-06-2019</w:t>
            </w:r>
          </w:p>
        </w:tc>
        <w:tc>
          <w:p/>
        </w:tc>
      </w:tr>
      <w:tr>
        <w:tc>
          <w:p/>
          <w:p>
            <w:pPr>
              <w:spacing w:after="0" w:before="0" w:lineRule="auto" w:line="276"/>
              <w:jc w:val="left"/>
            </w:pPr>
            <w:r>
              <w:rPr>
                <w:rFonts w:ascii="Times New Roman" w:hAnsi="Times New Roman" w:cs="Times New Roman" w:eastAsia="Times New Roman"/>
                <w:b w:val="false"/>
                <w:sz w:val="26"/>
              </w:rPr>
              <w:t>07/2022/QH15</w:t>
            </w:r>
          </w:p>
        </w:tc>
        <w:tc>
          <w:p/>
          <w:p>
            <w:pPr>
              <w:spacing w:after="0" w:before="0" w:lineRule="auto" w:line="276"/>
              <w:jc w:val="left"/>
            </w:pPr>
            <w:r>
              <w:rPr>
                <w:rFonts w:ascii="Times New Roman" w:hAnsi="Times New Roman" w:cs="Times New Roman" w:eastAsia="Times New Roman"/>
                <w:b w:val="false"/>
                <w:sz w:val="26"/>
              </w:rPr>
              <w:t>07/2022/QH15 - Luật 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16-06-2022</w:t>
            </w:r>
          </w:p>
        </w:tc>
        <w:tc>
          <w:p/>
        </w:tc>
      </w:tr>
      <w:tr>
        <w:tc>
          <w:p/>
          <w:p>
            <w:pPr>
              <w:spacing w:after="0" w:before="0" w:lineRule="auto" w:line="276"/>
              <w:jc w:val="left"/>
            </w:pPr>
            <w:r>
              <w:rPr>
                <w:rFonts w:ascii="Times New Roman" w:hAnsi="Times New Roman" w:cs="Times New Roman" w:eastAsia="Times New Roman"/>
                <w:b w:val="false"/>
                <w:sz w:val="26"/>
              </w:rPr>
              <w:t>93/2025/QH15</w:t>
            </w:r>
          </w:p>
        </w:tc>
        <w:tc>
          <w:p/>
          <w:p>
            <w:pPr>
              <w:spacing w:after="0" w:before="0" w:lineRule="auto" w:line="276"/>
              <w:jc w:val="left"/>
            </w:pPr>
            <w:r>
              <w:rPr>
                <w:rFonts w:ascii="Times New Roman" w:hAnsi="Times New Roman" w:cs="Times New Roman" w:eastAsia="Times New Roman"/>
                <w:b w:val="false"/>
                <w:sz w:val="26"/>
              </w:rPr>
              <w:t>Luật số 93/2025/QH15 của Quốc hội: Luật Khoa học, công nghệ và đổi mới sáng tạo</w:t>
            </w:r>
          </w:p>
        </w:tc>
        <w:tc>
          <w:p/>
          <w:p>
            <w:pPr>
              <w:spacing w:after="0" w:before="0" w:lineRule="auto" w:line="276"/>
              <w:jc w:val="left"/>
            </w:pPr>
            <w:r>
              <w:rPr>
                <w:rFonts w:ascii="Times New Roman" w:hAnsi="Times New Roman" w:cs="Times New Roman" w:eastAsia="Times New Roman"/>
                <w:b w:val="false"/>
                <w:sz w:val="26"/>
              </w:rPr>
              <w:t>27-06-2025</w:t>
            </w:r>
          </w:p>
        </w:tc>
        <w:tc>
          <w:p/>
          <w:p>
            <w:pPr>
              <w:spacing w:after="0" w:before="0" w:lineRule="auto" w:line="276"/>
              <w:jc w:val="left"/>
            </w:pPr>
            <w:r>
              <w:rPr>
                <w:rFonts w:ascii="Times New Roman" w:hAnsi="Times New Roman" w:cs="Times New Roman" w:eastAsia="Times New Roman"/>
                <w:b w:val="false"/>
                <w:sz w:val="26"/>
              </w:rPr>
              <w:t>Ủy ban thường vụ quốc hội</w:t>
            </w:r>
          </w:p>
        </w:tc>
      </w:tr>
      <w:tr>
        <w:tc>
          <w:p/>
          <w:p>
            <w:pPr>
              <w:spacing w:after="0" w:before="0" w:lineRule="auto" w:line="276"/>
              <w:jc w:val="left"/>
            </w:pPr>
            <w:r>
              <w:rPr>
                <w:rFonts w:ascii="Times New Roman" w:hAnsi="Times New Roman" w:cs="Times New Roman" w:eastAsia="Times New Roman"/>
                <w:b w:val="false"/>
                <w:sz w:val="26"/>
              </w:rPr>
              <w:t>131/2025/QH15</w:t>
            </w:r>
          </w:p>
        </w:tc>
        <w:tc>
          <w:p/>
          <w:p>
            <w:pPr>
              <w:spacing w:after="0" w:before="0" w:lineRule="auto" w:line="276"/>
              <w:jc w:val="left"/>
            </w:pPr>
            <w:r>
              <w:rPr>
                <w:rFonts w:ascii="Times New Roman" w:hAnsi="Times New Roman" w:cs="Times New Roman" w:eastAsia="Times New Roman"/>
                <w:b w:val="false"/>
                <w:sz w:val="26"/>
              </w:rPr>
              <w:t>sửa đổi, bổ sung một số điều của Luật Sở hữu trí tuệ</w:t>
            </w:r>
          </w:p>
        </w:tc>
        <w:tc>
          <w:p/>
          <w:p>
            <w:pPr>
              <w:spacing w:after="0" w:before="0" w:lineRule="auto" w:line="276"/>
              <w:jc w:val="left"/>
            </w:pPr>
            <w:r>
              <w:rPr>
                <w:rFonts w:ascii="Times New Roman" w:hAnsi="Times New Roman" w:cs="Times New Roman" w:eastAsia="Times New Roman"/>
                <w:b w:val="false"/>
                <w:sz w:val="26"/>
              </w:rPr>
              <w:t>10-12-2025</w:t>
            </w:r>
          </w:p>
        </w:tc>
        <w:tc>
          <w:p/>
          <w:p>
            <w:pPr>
              <w:spacing w:after="0" w:before="0" w:lineRule="auto" w:line="276"/>
              <w:jc w:val="left"/>
            </w:pPr>
            <w:r>
              <w:rPr>
                <w:rFonts w:ascii="Times New Roman" w:hAnsi="Times New Roman" w:cs="Times New Roman" w:eastAsia="Times New Roman"/>
                <w:b w:val="false"/>
                <w:sz w:val="26"/>
              </w:rPr>
              <w:t>Văn phòng Quốc hội</w:t>
            </w:r>
          </w:p>
        </w:tc>
      </w:tr>
      <w:tr>
        <w:tc>
          <w:p/>
          <w:p>
            <w:pPr>
              <w:spacing w:after="0" w:before="0" w:lineRule="auto" w:line="276"/>
              <w:jc w:val="left"/>
            </w:pPr>
            <w:r>
              <w:rPr>
                <w:rFonts w:ascii="Times New Roman" w:hAnsi="Times New Roman" w:cs="Times New Roman" w:eastAsia="Times New Roman"/>
                <w:b w:val="false"/>
                <w:sz w:val="26"/>
              </w:rPr>
              <w:t>100</w:t>
            </w:r>
          </w:p>
        </w:tc>
        <w:tc>
          <w:p/>
          <w:p>
            <w:pPr>
              <w:spacing w:after="0" w:before="0" w:lineRule="auto" w:line="276"/>
              <w:jc w:val="left"/>
            </w:pPr>
            <w:r>
              <w:rPr>
                <w:rFonts w:ascii="Times New Roman" w:hAnsi="Times New Roman" w:cs="Times New Roman" w:eastAsia="Times New Roman"/>
                <w:b w:val="false"/>
                <w:sz w:val="26"/>
              </w:rPr>
              <w:t>Nghị định số 100/2026/NĐ-CP ngày 31/3/2026 của Chính phủ</w:t>
            </w:r>
          </w:p>
        </w:tc>
        <w:tc>
          <w:p/>
          <w:p>
            <w:pPr>
              <w:spacing w:after="0" w:before="0" w:lineRule="auto" w:line="276"/>
              <w:jc w:val="left"/>
            </w:pPr>
            <w:r>
              <w:rPr>
                <w:rFonts w:ascii="Times New Roman" w:hAnsi="Times New Roman" w:cs="Times New Roman" w:eastAsia="Times New Roman"/>
                <w:b w:val="false"/>
                <w:sz w:val="26"/>
              </w:rPr>
              <w:t>31-03-2026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 nhân đáp ứng đủ các điều kiện quy định tại các điểm từ a đến đ khoản 2 Điều 155 của Luật Sở hữu trí tuệ được đăng ký dự kiểm tra nghiệp vụ đại diện sở hữu công nghiệp theo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2026-05-24T16:05:55Z</dcterms:created>
  <dc:creator>Apache POI</dc:creator>
</cp:coreProperties>
</file>