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biên phòng điện tử đối với tàu thuyền, thuyền viên nước ngoài chuyển cảng đến tại cửa khẩu cảng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biên giới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04 (bốn) giờ trước khi tàu thuyền dự kiến đến cảng, người làm thủ tục phải khai báo thông tin liên quan đến tàu thuyền, thuyền viên, hành khách (nếu có) chuyển cảng đến theo mẫu biểu quy định trên cổng Thông tin một cửa quốc gia hoặc trên cổng Thông tin thủ tục biên phòng điện tử cảng biển (trường hợp thực hiện thủ tục biên phòng điện tử cảng biển trên cổng Thông tin thủ tục biên phòng điện tử cảng biển theo quy định của pháp luật);</w:t>
      </w:r>
    </w:p>
    <w:p>
      <w:pPr>
        <w:spacing w:after="0" w:before="0" w:lineRule="auto" w:line="276"/>
        <w:jc w:val="both"/>
      </w:pPr>
      <w:r>
        <w:rPr>
          <w:rFonts w:ascii="Times New Roman" w:hAnsi="Times New Roman" w:cs="Times New Roman" w:eastAsia="Times New Roman"/>
          <w:b w:val="false"/>
          <w:sz w:val="26"/>
        </w:rPr>
        <w:t>Trường hợp Cơ chế một cửa quốc gia có quy định khác về thời hạn khai báo trên cổng Thông tin một cửa quốc gia thì thực hiện theo quy định của Cơ chế một cửa quốc gia;</w:t>
      </w:r>
    </w:p>
    <w:p>
      <w:pPr>
        <w:spacing w:after="0" w:before="0" w:lineRule="auto" w:line="276"/>
        <w:jc w:val="both"/>
      </w:pPr>
      <w:r>
        <w:rPr>
          <w:rFonts w:ascii="Times New Roman" w:hAnsi="Times New Roman" w:cs="Times New Roman" w:eastAsia="Times New Roman"/>
          <w:b w:val="false"/>
          <w:sz w:val="26"/>
        </w:rPr>
        <w:t>- Biên phòng cửa khẩu cảng tiếp nhận khai báo của người làm thủ tục từ Cổng Thông tin một cửa quốc gia chuyển đến cổng Thông tin thủ tục biên phòng điện tử cảng biển hoặc trực tiếp trên cổng Thông tin thủ tục biên phòng điện tử cảng biển (trường hợp thực hiện thủ tục biên phòng điện tử cảng biển trên cổng Thông tin thủ tục biên phòng điện tử cảng biển theo quy định của pháp luật);</w:t>
      </w:r>
    </w:p>
    <w:p>
      <w:pPr>
        <w:spacing w:after="0" w:before="0" w:lineRule="auto" w:line="276"/>
        <w:jc w:val="both"/>
      </w:pPr>
      <w:r>
        <w:rPr>
          <w:rFonts w:ascii="Times New Roman" w:hAnsi="Times New Roman" w:cs="Times New Roman" w:eastAsia="Times New Roman"/>
          <w:b w:val="false"/>
          <w:sz w:val="26"/>
        </w:rPr>
        <w:t>- Biên phòng cửa khẩu cảng thực hiện kiểm tra, xử lý thông tin khai báo, thực hiện thủ tục biên phòng điện tử và gửi xác nhận hoàn thành thủ tục biên phòng điện tử hoặc thông báo từ chối thực hiện thủ tục biên phòng điện tử cho người làm thủ tục thông qua cổng Thông tin một cửa quốc gia hoặc cổng Thông tin thủ tục biên phòng điện tử cảng biên (trường hợp thực hiện thủ tục biên phòng điện tử cảng biển trên cổng Thông tin thủ tục biên phòng điện tử cảng biển theo quy định của pháp luật);</w:t>
      </w:r>
    </w:p>
    <w:p>
      <w:pPr>
        <w:spacing w:after="0" w:before="0" w:lineRule="auto" w:line="276"/>
        <w:jc w:val="both"/>
      </w:pPr>
      <w:r>
        <w:rPr>
          <w:rFonts w:ascii="Times New Roman" w:hAnsi="Times New Roman" w:cs="Times New Roman" w:eastAsia="Times New Roman"/>
          <w:b w:val="false"/>
          <w:sz w:val="26"/>
        </w:rPr>
        <w:t>- Đối với tàu thuyền chuyển cảng đến có hồ sơ giấy kèm theo, chậm nhất 02 (hai) giờ, sau khi tàu thuyền neo đậu an toàn tại cầu cảng; chậm nhất 04 (bốn) giờ, sau khi tàu thuyền neo đậu an toàn tại vị trí khác trong vùng nước cảng, người làm thủ tục phải nộp hồ sơ giấy của tàu thuyền chuyển cảng cho Biên phòng cửa khẩu cảng nơi tàu thuyền đến.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Chậm nhất 01 (một) giờ kể từ khi Biên phòng cửa khẩu cảng tiếp nhận đầy đủ các bản khai điện tử.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Người làm thủ tục gửi hồ sơ và nhận kết quả qua mạng internet; nộp hồ sơ chuyển cảng tại trụ sở chính hoặc văn phòng đại diện của Cảng vụ hàng hải, Cảng vụ đường thủy nội địa trong trường hợp có văn bản hồ sơ vụ việc liên quan đến tàu thuyền, thuyền viên, hành khách (nếu có) trên tàu.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khai báo qua mạng internet: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chung;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thuyền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hành khách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vũ khí và vật liệu nổ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người trốn trên tàu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Biên phòng cửa khẩu cảng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chuyển cảng tại trụ sở chính hoặc văn phòng đại diện của Cảng vụ hàng hải, Cảng vụ đường thủy nội địa trong trường hợp có văn bản hồ sơ vụ việc liên quan đến tàu thuyền, thuyền viên, hành khách (nếu có) trên tàu.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Cảng vụ hàng hải, Cơ quan kiểm dịch thực vật, Cơ quan kiểm dịch động vật cửa khẩu, Trung tâm Kiểm dịch y tế quốc tế, Cảng vụ đường thủy nội địa, Hải quan cửa khẩu cảng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điện tử xác nhận hoàn thành thủ tục biên phòng điện tử cảng biển hoặc từ chối thực hiện thủ tục biên phòng điện tử cảng biển của Biên phòng cửa khẩu cảng gửi người làm thủ tục.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10/2016/QĐ-TTg</w:t>
            </w:r>
          </w:p>
        </w:tc>
        <w:tc>
          <w:p/>
          <w:p>
            <w:pPr>
              <w:spacing w:after="0" w:before="0" w:lineRule="auto" w:line="276"/>
              <w:jc w:val="left"/>
            </w:pPr>
            <w:r>
              <w:rPr>
                <w:rFonts w:ascii="Times New Roman" w:hAnsi="Times New Roman" w:cs="Times New Roman" w:eastAsia="Times New Roman"/>
                <w:b w:val="false"/>
                <w:sz w:val="26"/>
              </w:rPr>
              <w:t>Về thực hiện thủ tục biên phòng điện tử cảng biển</w:t>
            </w:r>
          </w:p>
        </w:tc>
        <w:tc>
          <w:p/>
          <w:p>
            <w:pPr>
              <w:spacing w:after="0" w:before="0" w:lineRule="auto" w:line="276"/>
              <w:jc w:val="left"/>
            </w:pPr>
            <w:r>
              <w:rPr>
                <w:rFonts w:ascii="Times New Roman" w:hAnsi="Times New Roman" w:cs="Times New Roman" w:eastAsia="Times New Roman"/>
                <w:b w:val="false"/>
                <w:sz w:val="26"/>
              </w:rPr>
              <w:t>03-03-2016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77/2017/NĐ-CP</w:t>
            </w:r>
          </w:p>
        </w:tc>
        <w:tc>
          <w:p/>
          <w:p>
            <w:pPr>
              <w:spacing w:after="0" w:before="0" w:lineRule="auto" w:line="276"/>
              <w:jc w:val="left"/>
            </w:pPr>
            <w:r>
              <w:rPr>
                <w:rFonts w:ascii="Times New Roman" w:hAnsi="Times New Roman" w:cs="Times New Roman" w:eastAsia="Times New Roman"/>
                <w:b w:val="false"/>
                <w:sz w:val="26"/>
              </w:rPr>
              <w:t>Quy định về quản lý, bảo an ninh, trật tự tại cửa khẩu cảng</w:t>
            </w:r>
          </w:p>
        </w:tc>
        <w:tc>
          <w:p/>
          <w:p>
            <w:pPr>
              <w:spacing w:after="0" w:before="0" w:lineRule="auto" w:line="276"/>
              <w:jc w:val="left"/>
            </w:pPr>
            <w:r>
              <w:rPr>
                <w:rFonts w:ascii="Times New Roman" w:hAnsi="Times New Roman" w:cs="Times New Roman" w:eastAsia="Times New Roman"/>
                <w:b w:val="false"/>
                <w:sz w:val="26"/>
              </w:rPr>
              <w:t>03-07-2017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2026-05-23T17:14:28Z</dcterms:created>
  <dc:creator>Apache POI</dc:creator>
</cp:coreProperties>
</file>