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giám định lại thương tật do vết thương cũ tái phát và điều chỉnh chế độ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binh, người hưởng chính sách như thương binh làm đơn đề nghị giám định lại thương tật gửi kèm bản sao bệnh án điều trị vết thương tái phát, phiếu phẫu thuật của bệnh viện cấp huyện trở lên (trường hợp phải phẫu thuật) đến Sở Lao động - Thương binh và Xã hội</w:t>
      </w:r>
    </w:p>
    <w:p>
      <w:pPr>
        <w:spacing w:after="0" w:before="0" w:lineRule="auto" w:line="276"/>
        <w:jc w:val="both"/>
      </w:pPr>
      <w:r>
        <w:rPr>
          <w:rFonts w:ascii="Times New Roman" w:hAnsi="Times New Roman" w:cs="Times New Roman" w:eastAsia="Times New Roman"/>
          <w:b w:val="false"/>
          <w:sz w:val="26"/>
        </w:rPr>
        <w:t>Bước 2: Sở Lao động - Thương binh và Xã hội trong thời gian 15 ngày làm việc kể từ ngày nhận đủ các giấy tờ có trách nhiệm đối chiếu hồ sơ đang lưu tại Sở, báo cáo Ủy ban nhân dân cấp tỉnh đề nghị Bộ Lao động - Thương binh và Xã hội thẩm định (Cục Người có công)</w:t>
      </w:r>
    </w:p>
    <w:p>
      <w:pPr>
        <w:spacing w:after="0" w:before="0" w:lineRule="auto" w:line="276"/>
        <w:jc w:val="both"/>
      </w:pPr>
      <w:r>
        <w:rPr>
          <w:rFonts w:ascii="Times New Roman" w:hAnsi="Times New Roman" w:cs="Times New Roman" w:eastAsia="Times New Roman"/>
          <w:b w:val="false"/>
          <w:sz w:val="26"/>
        </w:rPr>
        <w:t>Bước 3: Bộ Lao động - Thương binh và Xã hội trong thời gian 15 ngày làm việc kể từ ngày nhận đủ hồ sơ hợp lệ có trách nhiệm thẩm định và trả kết quả đến Sở Lao động - Thương binh và Xã hội.</w:t>
      </w:r>
    </w:p>
    <w:p>
      <w:pPr>
        <w:spacing w:after="0" w:before="0" w:lineRule="auto" w:line="276"/>
        <w:jc w:val="both"/>
      </w:pPr>
      <w:r>
        <w:rPr>
          <w:rFonts w:ascii="Times New Roman" w:hAnsi="Times New Roman" w:cs="Times New Roman" w:eastAsia="Times New Roman"/>
          <w:b w:val="false"/>
          <w:sz w:val="26"/>
        </w:rPr>
        <w:t>Bước 4: Trong thời gian 10 ngày làm việc kể từ ngày nhận được kết quả thẩm định của Bộ Lao động - Thương binh và Xã hội, Sở Lao động - Thương binh và Xã hội giới thiệu những trường hợp đủ điều kiện (kèm hồ sơ đã thẩm định) ra Hội đồng giám định y khoa có thẩm quyền.</w:t>
      </w:r>
    </w:p>
    <w:p>
      <w:pPr>
        <w:spacing w:after="0" w:before="0" w:lineRule="auto" w:line="276"/>
        <w:jc w:val="both"/>
      </w:pPr>
      <w:r>
        <w:rPr>
          <w:rFonts w:ascii="Times New Roman" w:hAnsi="Times New Roman" w:cs="Times New Roman" w:eastAsia="Times New Roman"/>
          <w:b w:val="false"/>
          <w:sz w:val="26"/>
        </w:rPr>
        <w:t>Bước 5: Hội đồng giám định y khoa có thẩm quyền tổ chức khám giám định, xác định lại tỷ lệ suy giảm khả năng lao động do thương tật, chuyển biên bản giám định y khoa đến Sở Lao động - Thương binh và Xã hội nơi đã giới thiệu giám định</w:t>
      </w:r>
    </w:p>
    <w:p>
      <w:pPr>
        <w:spacing w:after="0" w:before="0" w:lineRule="auto" w:line="276"/>
        <w:jc w:val="both"/>
      </w:pPr>
      <w:r>
        <w:rPr>
          <w:rFonts w:ascii="Times New Roman" w:hAnsi="Times New Roman" w:cs="Times New Roman" w:eastAsia="Times New Roman"/>
          <w:b w:val="false"/>
          <w:sz w:val="26"/>
        </w:rPr>
        <w:t>Bước 6: Sở Lao động - Thương binh và Xã hội trong thời gian 10 ngày làm việc kể từ ngày tiếp nhận biên bản giám định lại thương tật, có trách nhiệm ra quyết định điều chỉnh chế độ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giám định lại thương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bệnh án điều trị vết thương tái phát của bệnh viện cấp huyện trở lên, phiếu phẫu thuật của bệnh viện cấp huyện trở lên (trường hợp phẫu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biên bản của các lần giám định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Sở Lao động-Thương binh và Xã hội, Ủy ban Nhân dân xã, phường, thị trấn., Hội đồng Giám định Y khoa tỉnh, Các cơ quan, tổ chức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giám định lại thương tật, Quyết định điều chỉnh chế độ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2026-05-03T15:15:27Z</dcterms:created>
  <dc:creator>Apache POI</dc:creator>
</cp:coreProperties>
</file>