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mức độ khuyết tật đối với trường hợp Hội đồng xác định mức độ khuyết tật không đưa ra được kết luận về mức độ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tịch Hội đồng xác định mức độ khuyết tật hoàn chỉnh 01 bộ Hồ sơ theo đúng quy định tại Khoản 1 Điều 5 Thông tư liên tịch số 34/2012/TTLT-BYT-BLĐTBXH và chuyển Hồ sơ đến Phòng Lao động - Thương binh và Xã hội của huyện trong thời hạn 03 ngày làm việc.</w:t>
      </w:r>
    </w:p>
    <w:p>
      <w:pPr>
        <w:spacing w:after="0" w:before="0" w:lineRule="auto" w:line="276"/>
        <w:jc w:val="both"/>
      </w:pPr>
      <w:r>
        <w:rPr>
          <w:rFonts w:ascii="Times New Roman" w:hAnsi="Times New Roman" w:cs="Times New Roman" w:eastAsia="Times New Roman"/>
          <w:b w:val="false"/>
          <w:sz w:val="26"/>
        </w:rPr>
        <w:t>Căn cứ hồ sơ do Phòng Lao động - Thương binh và Xã hội chuyển đến, Hội đồng Giám định y khoa cơ quan thường trực Hội đồng GĐYK tiếp nhận, kiểm tra hồ sơ và thực hiện việc lập hồ sơ khám giám định y khoa.</w:t>
      </w:r>
    </w:p>
    <w:p>
      <w:pPr>
        <w:spacing w:after="0" w:before="0" w:lineRule="auto" w:line="276"/>
        <w:jc w:val="both"/>
      </w:pPr>
      <w:r>
        <w:rPr>
          <w:rFonts w:ascii="Times New Roman" w:hAnsi="Times New Roman" w:cs="Times New Roman" w:eastAsia="Times New Roman"/>
          <w:b w:val="false"/>
          <w:sz w:val="26"/>
        </w:rPr>
        <w:t>Trong thời gian 30 ngày làm việc, Hội đồng Giám định y khoa có trách nhiệm tổ chức khám giám định và kết luận dạng tật và mức độ khuyết tật.</w:t>
      </w:r>
    </w:p>
    <w:p>
      <w:pPr>
        <w:spacing w:after="0" w:before="0" w:lineRule="auto" w:line="276"/>
        <w:jc w:val="both"/>
      </w:pPr>
      <w:r>
        <w:rPr>
          <w:rFonts w:ascii="Times New Roman" w:hAnsi="Times New Roman" w:cs="Times New Roman" w:eastAsia="Times New Roman"/>
          <w:b w:val="false"/>
          <w:sz w:val="26"/>
        </w:rPr>
        <w:t>Trả Biên bản khám giám định mức độ khuyết tật cho đối tượng.</w:t>
      </w:r>
    </w:p>
    <w:p>
      <w:pPr>
        <w:shd w:val="clear" w:color="auto" w:fill="F2F6F9"/>
        <w:spacing w:after="0" w:before="120" w:lineRule="auto" w:line="276"/>
        <w:jc w:val="both"/>
      </w:pPr>
      <w:r>
        <w:rPr>
          <w:rFonts w:ascii="Times New Roman" w:hAnsi="Times New Roman" w:cs="Times New Roman" w:eastAsia="Times New Roman"/>
          <w:b w:val="true"/>
          <w:sz w:val="26"/>
        </w:rPr>
        <w:t>Phòng Lao động - Thương binh và Xã hội huyện tiếp nhận và kiểm tra hồ sơ tra hồ sơ khám giám định do Hội đồng xác định mức độ khuyết tật chuyển đến:</w:t>
      </w:r>
    </w:p>
    <w:p>
      <w:pPr>
        <w:spacing w:after="0" w:before="0" w:lineRule="auto" w:line="276"/>
        <w:jc w:val="both"/>
      </w:pPr>
      <w:r>
        <w:rPr>
          <w:rFonts w:ascii="Times New Roman" w:hAnsi="Times New Roman" w:cs="Times New Roman" w:eastAsia="Times New Roman"/>
          <w:b w:val="false"/>
          <w:sz w:val="26"/>
        </w:rPr>
        <w:t>Hồ sơ đã hoàn chỉnh theo quy định tại Điều 5 Thông tư liên tịch số 34/2012/TTLT-BYT-BLĐTBXH thì cấp cho người nộp hồ sơ Phiếu tiếp nhận hồ sơ theo quy định tại Phụ lục 1 ban hành kèm theo Thông tư liên tịch số 34/2012/TTLT-BYT-BLĐTBXH. Trong thời hạn 02 ngày kể từ ngày ghi trên phiếu tiếp nhận hồ sơ, Phòng Lao động - Thương binh và Xã hội huyện chuyển hồ sơ khám giám định đến Hội đồng Giám định y khoa cấp tỉnh.</w:t>
      </w:r>
    </w:p>
    <w:p>
      <w:pPr>
        <w:spacing w:after="0" w:before="0" w:lineRule="auto" w:line="276"/>
        <w:jc w:val="both"/>
      </w:pPr>
      <w:r>
        <w:rPr>
          <w:rFonts w:ascii="Times New Roman" w:hAnsi="Times New Roman" w:cs="Times New Roman" w:eastAsia="Times New Roman"/>
          <w:b w:val="false"/>
          <w:sz w:val="26"/>
        </w:rPr>
        <w:t>Trường hợp hồ sơ chưa đầy đủ và hợp lệ, trong thời gian 02 ngày kể từ ngày nhận được hồ sơ, Phòng Lao động - Thương binh và Xã hội có văn bản gửi Chủ tịch Hội đồng xác định mức độ khuyết tật hoàn chỉnh Hồ sơ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của Ủy ban nhân dân (UBND) xã, phường, thị trấn (sau đây gọi tắt là UBND xã) nơi đối tượng cư trú đề nghị khám giám định khuyết tật, có dán ảnh của đối tượng và đóng dấu giáp lai của UBND xã nơi đối tượng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Biên bản họp của Hội đồng xác định mức độ khuyết tật, trong biên bản ghi rõ Hội đồng xác định mức độ khuyết tật không đưa ra được kết luận về mức độ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đối tượng sống ở Trung tâm nuôi dưỡng phải có giấy xác nhận, trong giấy xác nhận ghi rõ họ tên, tuổi, dán ảnh đối tượng, đóng dấu giáp lai của Trung tâm và Trung tâm phải chịu trách nhiệm trước pháp luật về việc xác nhận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khám bệnh, chữa bệnh, tật: Giấy ra viện, giấy phẫu thuật và các 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xác định mức độ khuyết tật của Hội đồng Giám định y khoa lần gần nhất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186/2007/NĐ-CP</w:t>
            </w:r>
          </w:p>
        </w:tc>
        <w:tc>
          <w:p/>
          <w:p>
            <w:pPr>
              <w:spacing w:after="0" w:before="0" w:lineRule="auto" w:line="276"/>
              <w:jc w:val="left"/>
            </w:pPr>
            <w:r>
              <w:rPr>
                <w:rFonts w:ascii="Times New Roman" w:hAnsi="Times New Roman" w:cs="Times New Roman" w:eastAsia="Times New Roman"/>
                <w:b w:val="false"/>
                <w:sz w:val="26"/>
              </w:rPr>
              <w:t>Nghị định 186/2007/NĐ-CP</w:t>
            </w:r>
          </w:p>
        </w:tc>
        <w:tc>
          <w:p/>
          <w:p>
            <w:pPr>
              <w:spacing w:after="0" w:before="0" w:lineRule="auto" w:line="276"/>
              <w:jc w:val="left"/>
            </w:pPr>
            <w:r>
              <w:rPr>
                <w:rFonts w:ascii="Times New Roman" w:hAnsi="Times New Roman" w:cs="Times New Roman" w:eastAsia="Times New Roman"/>
                <w:b w:val="false"/>
                <w:sz w:val="26"/>
              </w:rPr>
              <w:t>25-10-2007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51/2010/QH12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Nghị định 28/2012/NĐ-CP</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63/2012/NĐ-CP</w:t>
            </w:r>
          </w:p>
        </w:tc>
        <w:tc>
          <w:p/>
          <w:p>
            <w:pPr>
              <w:spacing w:after="0" w:before="0" w:lineRule="auto" w:line="276"/>
              <w:jc w:val="left"/>
            </w:pPr>
            <w:r>
              <w:rPr>
                <w:rFonts w:ascii="Times New Roman" w:hAnsi="Times New Roman" w:cs="Times New Roman" w:eastAsia="Times New Roman"/>
                <w:b w:val="false"/>
                <w:sz w:val="26"/>
              </w:rPr>
              <w:t>Nghị định 63/2012/NĐ-CP -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31-08-2012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34/2012/TTLT-BYT-BLĐTBXH</w:t>
            </w:r>
          </w:p>
        </w:tc>
        <w:tc>
          <w:p/>
          <w:p>
            <w:pPr>
              <w:spacing w:after="0" w:before="0" w:lineRule="auto" w:line="276"/>
              <w:jc w:val="left"/>
            </w:pPr>
            <w:r>
              <w:rPr>
                <w:rFonts w:ascii="Times New Roman" w:hAnsi="Times New Roman" w:cs="Times New Roman" w:eastAsia="Times New Roman"/>
                <w:b w:val="false"/>
                <w:sz w:val="26"/>
              </w:rPr>
              <w:t>Thông tư liên tịch 34/2012/TTLT-BYT-BLĐTBXH</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2026-05-22T15:38:01Z</dcterms:created>
  <dc:creator>Apache POI</dc:creator>
</cp:coreProperties>
</file>