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nhập khẩu máy móc, thiết bị đã qua sử dụng trong trường hợp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doanh nghiệp (sau đây viết chung là doanh nghiệp) đang tiến hành sản xuất tại Việt Nam, để bảo đảm duy trì hoạt động sản xuất, có nhu cầu nhập khẩu máy móc, thiết bị đã qua sử dụng có tuổi thiết bị vượt quá quy định tại khoản 1 Điều 6 Quyết định số 18/2019/QĐ-TTg ngày 19/4/2019 của Thủ tướng Chính phủ nhưng công suất (tính theo số lượng sản phẩm được tạo ra bởi máy móc, thiết bị trong một đơn vị thời gian) hoặc hiệu suất còn lại của máy móc, thiết bị vẫn đạt từ 85% trở lên so với công suất hoặc hiệu suất thiết kế và mức tiêu hao nguyên, vật liệu, năng lượng của máy móc, thiết bị không vượt quá 15% so với thiết kế</w:t>
      </w:r>
    </w:p>
    <w:p>
      <w:pPr>
        <w:spacing w:after="0" w:before="0" w:lineRule="auto" w:line="276"/>
        <w:jc w:val="both"/>
      </w:pPr>
      <w:r>
        <w:rPr>
          <w:rFonts w:ascii="Times New Roman" w:hAnsi="Times New Roman" w:cs="Times New Roman" w:eastAsia="Times New Roman"/>
          <w:b w:val="false"/>
          <w:sz w:val="26"/>
        </w:rPr>
        <w:t>doanh nghiệp nộp 01 bộ hồ sơ đề nghị cho phép nhập khẩu, đến Bộ phận Một cửa của Bộ Khoa học và Công nghệ để được xem xét, giải quyết</w:t>
      </w:r>
    </w:p>
    <w:p>
      <w:pPr>
        <w:shd w:val="clear" w:color="auto" w:fill="F2F6F9"/>
        <w:spacing w:after="0" w:before="120" w:lineRule="auto" w:line="276"/>
        <w:jc w:val="both"/>
      </w:pPr>
      <w:r>
        <w:rPr>
          <w:rFonts w:ascii="Times New Roman" w:hAnsi="Times New Roman" w:cs="Times New Roman" w:eastAsia="Times New Roman"/>
          <w:b w:val="true"/>
          <w:sz w:val="26"/>
        </w:rPr>
        <w:t>- Trường hợp hồ sơ chưa đầy đủ, chưa hợp lệ theo quy định</w:t>
      </w:r>
    </w:p>
    <w:p>
      <w:pPr>
        <w:spacing w:after="0" w:before="0" w:lineRule="auto" w:line="276"/>
        <w:jc w:val="both"/>
      </w:pPr>
      <w:r>
        <w:rPr>
          <w:rFonts w:ascii="Times New Roman" w:hAnsi="Times New Roman" w:cs="Times New Roman" w:eastAsia="Times New Roman"/>
          <w:b w:val="false"/>
          <w:sz w:val="26"/>
        </w:rPr>
        <w:t>+ Trả lại ngay hồ sơ cho doanh nghiệp để sửa đổi, bổ sung trong trường hợp doanh nghiệp nộp hồ sơ trực tiếp tại Bộ phận Bộ phận Một cửa của Bộ Khoa học và Công nghệ;</w:t>
      </w:r>
    </w:p>
    <w:p>
      <w:pPr>
        <w:spacing w:after="0" w:before="0" w:lineRule="auto" w:line="276"/>
        <w:jc w:val="both"/>
      </w:pPr>
      <w:r>
        <w:rPr>
          <w:rFonts w:ascii="Times New Roman" w:hAnsi="Times New Roman" w:cs="Times New Roman" w:eastAsia="Times New Roman"/>
          <w:b w:val="false"/>
          <w:sz w:val="26"/>
        </w:rPr>
        <w:t>+ Trường hợp nhận hồ sơ qua Cổng dịch vụ công quốc gia, trong thời hạn 08 giờ làm việc kể từ thời điểm nhận hồ sơ, Bộ Khoa học và Công nghệ có ý kiến đề nghị doanh nghiệp sửa đổi, bổ sung hồ sơ;</w:t>
      </w:r>
    </w:p>
    <w:p>
      <w:pPr>
        <w:spacing w:after="0" w:before="0" w:lineRule="auto" w:line="276"/>
        <w:jc w:val="both"/>
      </w:pPr>
      <w:r>
        <w:rPr>
          <w:rFonts w:ascii="Times New Roman" w:hAnsi="Times New Roman" w:cs="Times New Roman" w:eastAsia="Times New Roman"/>
          <w:b w:val="false"/>
          <w:sz w:val="26"/>
        </w:rPr>
        <w:t>+ Trường hợp nhận hồ sơ qua đường bưu chính, trong thời hạn 02 ngày làm việc kể từ ngày nhận hồ sơ, Bộ Khoa học và Công nghệ có văn bản đề nghị doanh nghiệp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Trong thời hạn 02 ngày làm việc kể từ ngày nhận được hồ sơ đầy đủ, hợp lệ</w:t>
      </w:r>
    </w:p>
    <w:p>
      <w:pPr>
        <w:spacing w:after="0" w:before="0" w:lineRule="auto" w:line="276"/>
        <w:jc w:val="both"/>
      </w:pPr>
      <w:r>
        <w:rPr>
          <w:rFonts w:ascii="Times New Roman" w:hAnsi="Times New Roman" w:cs="Times New Roman" w:eastAsia="Times New Roman"/>
          <w:b w:val="false"/>
          <w:sz w:val="26"/>
        </w:rPr>
        <w:t>Bộ Khoa học và Công nghệ gửi văn bản kèm theo bản chụp hồ sơ đề nghị các bộ, cơ quan ngang bộ liên quan có ý kiến. Trường hợp cần thiết, Bộ Khoa học và Công nghệ lấy ý kiến chuyên gia về máy móc, thiết bị đã qua sử dụng đề nghị được nhập khẩu.</w:t>
      </w:r>
    </w:p>
    <w:p>
      <w:pPr>
        <w:shd w:val="clear" w:color="auto" w:fill="F2F6F9"/>
        <w:spacing w:after="0" w:before="120" w:lineRule="auto" w:line="276"/>
        <w:jc w:val="both"/>
      </w:pPr>
      <w:r>
        <w:rPr>
          <w:rFonts w:ascii="Times New Roman" w:hAnsi="Times New Roman" w:cs="Times New Roman" w:eastAsia="Times New Roman"/>
          <w:b w:val="true"/>
          <w:sz w:val="26"/>
        </w:rPr>
        <w:t>Trong thời hạn 5 ngày làm việc kể từ ngày nhận được văn bản đề nghị của Bộ Khoa học và Công nghệ</w:t>
      </w:r>
    </w:p>
    <w:p>
      <w:pPr>
        <w:spacing w:after="0" w:before="0" w:lineRule="auto" w:line="276"/>
        <w:jc w:val="both"/>
      </w:pPr>
      <w:r>
        <w:rPr>
          <w:rFonts w:ascii="Times New Roman" w:hAnsi="Times New Roman" w:cs="Times New Roman" w:eastAsia="Times New Roman"/>
          <w:b w:val="false"/>
          <w:sz w:val="26"/>
        </w:rPr>
        <w:t>các bộ, cơ quan ngang bộ, chuyên gia có ý kiến về việc nhập khẩu máy móc, thiết bị trong lĩnh vực quản lý chuyên ngành và cho ý kiến về đề xuất được nhập khẩu máy móc, thiết bị của doanh nghiệp.</w:t>
      </w:r>
    </w:p>
    <w:p>
      <w:pPr>
        <w:shd w:val="clear" w:color="auto" w:fill="F2F6F9"/>
        <w:spacing w:after="0" w:before="120" w:lineRule="auto" w:line="276"/>
        <w:jc w:val="both"/>
      </w:pPr>
      <w:r>
        <w:rPr>
          <w:rFonts w:ascii="Times New Roman" w:hAnsi="Times New Roman" w:cs="Times New Roman" w:eastAsia="Times New Roman"/>
          <w:b w:val="true"/>
          <w:sz w:val="26"/>
        </w:rPr>
        <w:t>- Trong thời hạn 03 ngày làm việc kể từ ngày nhận được ý kiến của các bộ, cơ quan ngang bộ, chuyên gia</w:t>
      </w:r>
    </w:p>
    <w:p>
      <w:pPr>
        <w:spacing w:after="0" w:before="0" w:lineRule="auto" w:line="276"/>
        <w:jc w:val="both"/>
      </w:pPr>
      <w:r>
        <w:rPr>
          <w:rFonts w:ascii="Times New Roman" w:hAnsi="Times New Roman" w:cs="Times New Roman" w:eastAsia="Times New Roman"/>
          <w:b w:val="false"/>
          <w:sz w:val="26"/>
        </w:rPr>
        <w:t>Bộ Khoa học và Công nghệ có văn bản trả lời doanh nghiệp, nêu rõ lý do nếu không chấp thuận đề nghị nhập khẩu máy móc, thiết bị.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của Bộ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cho phép nhập khẩu máy móc, thiết bị đã qua sử dụng (theo Mẫu số 01 Quyết định 02/2026/QĐ-TTg), theo đó giải trình về sự cần thiết phải nhập khẩu máy móc, thiết bị để bảo đảm duy trì hoạt động sản xuất kinh doanh, phương án sử dụng và sự cần thiết của máy móc, thiết bị dự kiến nhập khẩu trong dây chuyền công nghệ</w:t>
            </w:r>
          </w:p>
        </w:tc>
        <w:tc>
          <w:p/>
          <w:p>
            <w:pPr>
              <w:spacing w:after="0" w:before="0" w:lineRule="auto" w:line="276"/>
              <w:jc w:val="left"/>
            </w:pPr>
            <w:r>
              <w:rPr>
                <w:rFonts w:ascii="Times New Roman" w:hAnsi="Times New Roman" w:cs="Times New Roman" w:eastAsia="Times New Roman"/>
                <w:b w:val="false"/>
                <w:sz w:val="26"/>
              </w:rPr>
              <w:t>Mau01_2026.docx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có đóng dấu của doanh nghiệp.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thư giám định được cấp bởi tổ chức giám định được Bộ Khoa học và Công nghệ chỉ định. Nội dung chứng thư giám định được thực hiện theo quy định tại điểm a, b, c, d, g khoản 1 Điều 10 Quyết định 18/2019/QĐ-TTg.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Đánh giá và Thẩm định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tổ chức, doanh nghiệp về việc chấp thuận đề nghị cho phép nhập khẩu máy móc, thiết bị đã qua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18/2019/QĐ-TTg</w:t>
            </w:r>
          </w:p>
        </w:tc>
        <w:tc>
          <w:p/>
          <w:p>
            <w:pPr>
              <w:spacing w:after="0" w:before="0" w:lineRule="auto" w:line="276"/>
              <w:jc w:val="left"/>
            </w:pPr>
            <w:r>
              <w:rPr>
                <w:rFonts w:ascii="Times New Roman" w:hAnsi="Times New Roman" w:cs="Times New Roman" w:eastAsia="Times New Roman"/>
                <w:b w:val="false"/>
                <w:sz w:val="26"/>
              </w:rPr>
              <w:t>Quyết định 18/2019/QĐ-TTg</w:t>
            </w:r>
          </w:p>
        </w:tc>
        <w:tc>
          <w:p/>
          <w:p>
            <w:pPr>
              <w:spacing w:after="0" w:before="0" w:lineRule="auto" w:line="276"/>
              <w:jc w:val="left"/>
            </w:pPr>
            <w:r>
              <w:rPr>
                <w:rFonts w:ascii="Times New Roman" w:hAnsi="Times New Roman" w:cs="Times New Roman" w:eastAsia="Times New Roman"/>
                <w:b w:val="false"/>
                <w:sz w:val="26"/>
              </w:rPr>
              <w:t>19-04-2019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Máy móc, thiết bị đã qua sử dụng nhập khẩu có tuổi thiết bị vượt quá quy định tại khoản 1 Điều 6 Quyết định số 18/2019/QĐ-TTg nhưng công suất (tính theo số lượng sản phẩm được tạo ra bởi máy móc, thiết bị trong một đơn vị thời gian) hoặc hiệu suất còn lại của máy móc, thiết bị vẫn đạt từ 85% trở lên so với công suất hoặc hiệu suất thiết kế và mức tiêu hao nguyên, vật liệu, năng lượng của máy móc, thiết bị không vượt quá 15% so với thiết kế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2026-05-08T14:54:36Z</dcterms:created>
  <dc:creator>Apache POI</dc:creator>
</cp:coreProperties>
</file>