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3179/QĐ-BYT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mã số hoạt động của Hội đồng đạo đức trong nghiên cứu y sinh học cấp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Đào tạo và Nghiên cứu khoa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có thẩm quyền thành lập Hội đồng đạo đức cấp cơ sở (Hội đồng đạo đức) có trách nhiệm gửi một (01) bộ hồ sơ thông báo hoạt động của Hội đồng đạo đức trực tiếp hoặc qua bưu điện hoặc trên cổng dịch vụ công trực tuyến của Cục Khoa học Công nghệ và Đào tạo, Bộ Y tế về Cục Khoa học Công nghệ và Đào tạo, Bộ Y tế trong thời hạn 10 ngày làm việc kể từ ngày có quyết định thành lập Hội đồng đạo đức.</w:t>
      </w:r>
    </w:p>
    <w:p>
      <w:pPr>
        <w:spacing w:after="0" w:before="0" w:lineRule="auto" w:line="276"/>
        <w:jc w:val="both"/>
      </w:pPr>
      <w:r>
        <w:rPr>
          <w:rFonts w:ascii="Times New Roman" w:hAnsi="Times New Roman" w:cs="Times New Roman" w:eastAsia="Times New Roman"/>
          <w:b w:val="false"/>
          <w:sz w:val="26"/>
        </w:rPr>
        <w:t>Bước 2: Cục Khoa học công nghệ và Đào tạo, Bộ Y tế có trách nhiệm kiểm tra tính hợp lệ, đầy đủ của hồ sơ và cấp phiếu tiếp nhận hồ sơ.</w:t>
      </w:r>
    </w:p>
    <w:p>
      <w:pPr>
        <w:spacing w:after="0" w:before="0" w:lineRule="auto" w:line="276"/>
        <w:jc w:val="both"/>
      </w:pPr>
      <w:r>
        <w:rPr>
          <w:rFonts w:ascii="Times New Roman" w:hAnsi="Times New Roman" w:cs="Times New Roman" w:eastAsia="Times New Roman"/>
          <w:b w:val="false"/>
          <w:sz w:val="26"/>
        </w:rPr>
        <w:t>Bước 3: Trong thời hạn 07 ngày làm việc kể từ ngày nhận được hồ sơ hợp lệ, Cục Khoa học Công nghệ và Đào tạo, Bộ Y tế có trách nhiệm thẩm định hồ sơ và có văn bản cấp mã số hoạt động cho Hội đồng đạo đức nếu hồ sơ đạt yêu cầu. Trường hợp hồ sơ không đạt yêu cầu hoặc cần sửa chữa, Cục Khoa học công nghệ và Đào tạo có văn bản thông báo cho tổ chức nộp hồ sơ và nêu rõ lý do.</w:t>
      </w:r>
    </w:p>
    <w:p>
      <w:pPr>
        <w:spacing w:after="0" w:before="0" w:lineRule="auto" w:line="276"/>
        <w:jc w:val="both"/>
      </w:pPr>
      <w:r>
        <w:rPr>
          <w:rFonts w:ascii="Times New Roman" w:hAnsi="Times New Roman" w:cs="Times New Roman" w:eastAsia="Times New Roman"/>
          <w:b w:val="false"/>
          <w:sz w:val="26"/>
        </w:rPr>
        <w:t>Bước 4: Trường hợp hồ sơ cần sửa chữa, tổ chức nộp hồ sơ có trách nhiệm hoàn thiện hồ sơ trong thời hạn tối đa 60 ngày kể từ ngày nhận được văn bản thông báo. Quá thời hạn này, thủ tục cấp mã số hoạt động cho Hội đồng đạo đức phải thực hiện lại từ đầu.</w:t>
      </w:r>
    </w:p>
    <w:p>
      <w:pPr>
        <w:spacing w:after="0" w:before="0" w:lineRule="auto" w:line="276"/>
        <w:jc w:val="both"/>
      </w:pPr>
      <w:r>
        <w:rPr>
          <w:rFonts w:ascii="Times New Roman" w:hAnsi="Times New Roman" w:cs="Times New Roman" w:eastAsia="Times New Roman"/>
          <w:b w:val="false"/>
          <w:sz w:val="26"/>
        </w:rPr>
        <w:t>Bước 5: Trong thời hạn 05 ngày làm việc kể từ ngày nhận được hồ sơ hoàn chỉnh theo đúng văn bản thông báo, Cục Khoa học Công nghệ và Đào tạo, Bộ Y tế có trách nhiệm cấp mã số hoạt động cho Hội đồng đạo đức.</w:t>
      </w:r>
    </w:p>
    <w:p>
      <w:pPr>
        <w:spacing w:after="0" w:before="0" w:lineRule="auto" w:line="276"/>
        <w:jc w:val="both"/>
      </w:pPr>
      <w:r>
        <w:rPr>
          <w:rFonts w:ascii="Times New Roman" w:hAnsi="Times New Roman" w:cs="Times New Roman" w:eastAsia="Times New Roman"/>
          <w:b w:val="false"/>
          <w:sz w:val="26"/>
        </w:rPr>
        <w:t>Bước 6: Cục Khoa học công nghệ và Đào tạo, Bộ Y tế có trách nhiệm đăng tải công khai thông tin về tên, địa chỉ của Hội đồng đạo đức, họ tên Chủ tịch Hội đồng đạo đức và mã số hoạt động của Hội đồng đạo đức trên Trang thông tin điện tử của Cục Khoa học công nghệ và Đào tạo trong vòng 05 ngày làm việc kể từ ngày cấp mã số hoạt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tử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tử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tử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mã số hoạt động của Hội đồng đạo đức (Phụ lục số 01)</w:t>
            </w:r>
          </w:p>
        </w:tc>
        <w:tc>
          <w:p/>
          <w:p>
            <w:pPr>
              <w:spacing w:after="0" w:before="0" w:lineRule="auto" w:line="276"/>
              <w:jc w:val="left"/>
            </w:pPr>
            <w:r>
              <w:rPr>
                <w:rFonts w:ascii="Times New Roman" w:hAnsi="Times New Roman" w:cs="Times New Roman" w:eastAsia="Times New Roman"/>
                <w:b w:val="false"/>
                <w:sz w:val="26"/>
              </w:rPr>
              <w:t>TT45_2017_TTBYT_Phu luc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có chứng thực hoặc bản sao có bản chính để đối chiếu Quyết định thành lập Hội đồng đạo đức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có chứng thực hoặc bản sao có bản chính để đối chiếu Quy chế tổ chức và hoạt động của Hội đồng đạo đức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Lý lịch khoa học cập nhật và chứng chỉ tập huấn về thực hành nghiên cứu lâm sàng tốt của các thành viên, thư ký Hội đồng đạo đức và quy trình thực hành chuẩn của Hội đồng đạo đức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mục các nghiên cứu được Hội đồng đạo đức thẩm định trong 12 tháng gần nhất tính đến ngày lập danh mục (nếu có) (phụ lục số 02)</w:t>
            </w:r>
          </w:p>
        </w:tc>
        <w:tc>
          <w:p/>
          <w:p>
            <w:pPr>
              <w:spacing w:after="0" w:before="0" w:lineRule="auto" w:line="276"/>
              <w:jc w:val="left"/>
            </w:pPr>
            <w:r>
              <w:rPr>
                <w:rFonts w:ascii="Times New Roman" w:hAnsi="Times New Roman" w:cs="Times New Roman" w:eastAsia="Times New Roman"/>
                <w:b w:val="false"/>
                <w:sz w:val="26"/>
              </w:rPr>
              <w:t>TT45_2017_TTBYT_Phu luc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Danh mục các nghiên cứu được Hội đồng đạo đức giám sát, kiểm tra trong 12 tháng gần nhất tính đến ngày lập danh mục (nếu có) (phụ lục số 03)</w:t>
            </w:r>
          </w:p>
        </w:tc>
        <w:tc>
          <w:p/>
          <w:p>
            <w:pPr>
              <w:spacing w:after="0" w:before="0" w:lineRule="auto" w:line="276"/>
              <w:jc w:val="left"/>
            </w:pPr>
            <w:r>
              <w:rPr>
                <w:rFonts w:ascii="Times New Roman" w:hAnsi="Times New Roman" w:cs="Times New Roman" w:eastAsia="Times New Roman"/>
                <w:b w:val="false"/>
                <w:sz w:val="26"/>
              </w:rPr>
              <w:t>TT45_2017_TTBYT_Phu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Danh mục các quy trình thực hành chuẩn của Hội đồng đạo đức (phụ lục số 04)</w:t>
            </w:r>
          </w:p>
        </w:tc>
        <w:tc>
          <w:p/>
          <w:p>
            <w:pPr>
              <w:spacing w:after="0" w:before="0" w:lineRule="auto" w:line="276"/>
              <w:jc w:val="left"/>
            </w:pPr>
            <w:r>
              <w:rPr>
                <w:rFonts w:ascii="Times New Roman" w:hAnsi="Times New Roman" w:cs="Times New Roman" w:eastAsia="Times New Roman"/>
                <w:b w:val="false"/>
                <w:sz w:val="26"/>
              </w:rPr>
              <w:t>TT45_2017_TTBYT_Phu luc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8. Danh mục các biểu mẫu hoạt động của Hội đồng đạo đức (phụ lục số 05)</w:t>
            </w:r>
          </w:p>
        </w:tc>
        <w:tc>
          <w:p/>
          <w:p>
            <w:pPr>
              <w:spacing w:after="0" w:before="0" w:lineRule="auto" w:line="276"/>
              <w:jc w:val="left"/>
            </w:pPr>
            <w:r>
              <w:rPr>
                <w:rFonts w:ascii="Times New Roman" w:hAnsi="Times New Roman" w:cs="Times New Roman" w:eastAsia="Times New Roman"/>
                <w:b w:val="false"/>
                <w:sz w:val="26"/>
              </w:rPr>
              <w:t>TT45_2017_TTBYT_Phu luc 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9. Bản thông tin về nhân lực, cơ sở vật chất, trang thiết bị làm việc của Hội đồng đạo đức (phụ lục số 06)</w:t>
            </w:r>
          </w:p>
        </w:tc>
        <w:tc>
          <w:p/>
          <w:p>
            <w:pPr>
              <w:spacing w:after="0" w:before="0" w:lineRule="auto" w:line="276"/>
              <w:jc w:val="left"/>
            </w:pPr>
            <w:r>
              <w:rPr>
                <w:rFonts w:ascii="Times New Roman" w:hAnsi="Times New Roman" w:cs="Times New Roman" w:eastAsia="Times New Roman"/>
                <w:b w:val="false"/>
                <w:sz w:val="26"/>
              </w:rPr>
              <w:t>TT45_2017_TTBYT_Phu luc 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Khoa học Công nghệ và Đào tạo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Khoa học công nghệ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cấp mã số hoạt động và mã số hoạt động của Hội đồng đạo đức được đăng tải trên Trang thông tin điện tử của Cục Khoa học công nghệ và Đào tạo, Bộ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36/2016/NĐ-CP</w:t>
            </w:r>
          </w:p>
        </w:tc>
        <w:tc>
          <w:p/>
          <w:p>
            <w:pPr>
              <w:spacing w:after="0" w:before="0" w:lineRule="auto" w:line="276"/>
              <w:jc w:val="left"/>
            </w:pPr>
            <w:r>
              <w:rPr>
                <w:rFonts w:ascii="Times New Roman" w:hAnsi="Times New Roman" w:cs="Times New Roman" w:eastAsia="Times New Roman"/>
                <w:b w:val="false"/>
                <w:sz w:val="26"/>
              </w:rPr>
              <w:t>Nghị định 36/2016/NĐ-CP Về quản lý trang thiết bị y tế</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45/2017/TT-BYT</w:t>
            </w:r>
          </w:p>
        </w:tc>
        <w:tc>
          <w:p/>
          <w:p>
            <w:pPr>
              <w:spacing w:after="0" w:before="0" w:lineRule="auto" w:line="276"/>
              <w:jc w:val="left"/>
            </w:pPr>
            <w:r>
              <w:rPr>
                <w:rFonts w:ascii="Times New Roman" w:hAnsi="Times New Roman" w:cs="Times New Roman" w:eastAsia="Times New Roman"/>
                <w:b w:val="false"/>
                <w:sz w:val="26"/>
              </w:rPr>
              <w:t>Thông tư 45/2017/TT-BYT</w:t>
            </w:r>
          </w:p>
        </w:tc>
        <w:tc>
          <w:p/>
          <w:p>
            <w:pPr>
              <w:spacing w:after="0" w:before="0" w:lineRule="auto" w:line="276"/>
              <w:jc w:val="left"/>
            </w:pPr>
            <w:r>
              <w:rPr>
                <w:rFonts w:ascii="Times New Roman" w:hAnsi="Times New Roman" w:cs="Times New Roman" w:eastAsia="Times New Roman"/>
                <w:b w:val="false"/>
                <w:sz w:val="26"/>
              </w:rPr>
              <w:t>16-11-2017</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áp dụng đối với Thông tư số 45/2017/TT-BYT ngày 16/11/2017</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Đào tạo, Nghiên cứu khoa học và Công nghệ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2026-05-10T18:47:06Z</dcterms:created>
  <dc:creator>Apache POI</dc:creator>
</cp:coreProperties>
</file>