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4576/QĐ-BQP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người hoạt động kháng chiến nhiễm chất độc hóa học đang công tác trong Quân đội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tượng lập bản khai cá nhân (Mẫu HH1) kèm theo các giấy tờ theo quy định; gửi cơ quan, đơn vị quản lý trực tiếp xác nhận, tiếp lập hồ sơ và đề nghị;</w:t>
      </w:r>
    </w:p>
    <w:p>
      <w:pPr>
        <w:spacing w:after="0" w:before="0" w:lineRule="auto" w:line="276"/>
        <w:jc w:val="both"/>
      </w:pPr>
      <w:r>
        <w:rPr>
          <w:rFonts w:ascii="Times New Roman" w:hAnsi="Times New Roman" w:cs="Times New Roman" w:eastAsia="Times New Roman"/>
          <w:b w:val="false"/>
          <w:sz w:val="26"/>
        </w:rPr>
        <w:t>b)	Các cấp từ trung đoàn và tương đương trở lên kiểm tra, hoàn thiện hồ sơ gửi đến Cục Chính sách/Tổng cục Chính trị;</w:t>
      </w:r>
    </w:p>
    <w:p>
      <w:pPr>
        <w:spacing w:after="0" w:before="0" w:lineRule="auto" w:line="276"/>
        <w:jc w:val="both"/>
      </w:pPr>
      <w:r>
        <w:rPr>
          <w:rFonts w:ascii="Times New Roman" w:hAnsi="Times New Roman" w:cs="Times New Roman" w:eastAsia="Times New Roman"/>
          <w:b w:val="false"/>
          <w:sz w:val="26"/>
        </w:rPr>
        <w:t>c)	Cục Chính sách/Tổng cục Chính trị:
-	Thẩm định hồ sơ;
-	Giới thiệu đến Hội đồng giám định y khoa Bộ Quốc phòng hoặc Hội đồng giám định y khoa Bệnh viện 175/Bộ Quốc phòng.</w:t>
      </w:r>
    </w:p>
    <w:p>
      <w:pPr>
        <w:spacing w:after="0" w:before="0" w:lineRule="auto" w:line="276"/>
        <w:jc w:val="both"/>
      </w:pPr>
      <w:r>
        <w:rPr>
          <w:rFonts w:ascii="Times New Roman" w:hAnsi="Times New Roman" w:cs="Times New Roman" w:eastAsia="Times New Roman"/>
          <w:b w:val="false"/>
          <w:sz w:val="26"/>
        </w:rPr>
        <w:t>d)	Hội đồng giám định y khoa:
-	Giám định y khoa cho đối tượng mắc bệnh do nhiễm chất độc hóa học và xác định tỷ lệ suy giảm khả năng lao động;
-	Ra biên bản giám định y khoa kết luận bị mắc bệnh do nhiễm chất độc hóa học và xác định tỷ lệ suy giảm khả năng lao động;
-	Lập hồ sơ chuyển đến Cục Quân y Bộ Quốc phòng.</w:t>
      </w:r>
    </w:p>
    <w:p>
      <w:pPr>
        <w:spacing w:after="0" w:before="0" w:lineRule="auto" w:line="276"/>
        <w:jc w:val="both"/>
      </w:pPr>
      <w:r>
        <w:rPr>
          <w:rFonts w:ascii="Times New Roman" w:hAnsi="Times New Roman" w:cs="Times New Roman" w:eastAsia="Times New Roman"/>
          <w:b w:val="false"/>
          <w:sz w:val="26"/>
        </w:rPr>
        <w:t>đ) Cục Quân y Bộ Quốc phòng:
-	Thẩm định hồ sơ;
-	Cấp giấy chứng nhận bệnh tật do nhiễm chất độc hóa học;
-	Chuyển hồ sơ đến Cục Chính sách/Tổng cục Chính trị;</w:t>
      </w:r>
    </w:p>
    <w:p>
      <w:pPr>
        <w:spacing w:after="0" w:before="0" w:lineRule="auto" w:line="276"/>
        <w:jc w:val="both"/>
      </w:pPr>
      <w:r>
        <w:rPr>
          <w:rFonts w:ascii="Times New Roman" w:hAnsi="Times New Roman" w:cs="Times New Roman" w:eastAsia="Times New Roman"/>
          <w:b w:val="false"/>
          <w:sz w:val="26"/>
        </w:rPr>
        <w:t>e)	Cục Chính sách/Tổng cục Chính trị:
-	Thẩm định hồ sơ;
-	Trình Cục trưởng Cục Chính sách/Tổng cục Chính trị ký quyết định cấp giấy chứng nhận người hoạt động kháng chiến bị nhiễm chất độc hóa học và trợ cấp, phụ cấp hàng tháng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80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80 ngày làm việc, kể từ ngày nhận đủ hồ sơ hợp lệ, cụ thể:
1. Từ cấp trung đoàn và tương đương trở lên đơn vị cấp Bộ mỗi cấp: 10 ngày làm việc.
2. Hội đồng Giám định y khoa: 10 ngày làm việc (không tính thời gian giám định)
3. Cục Quân y Bộ Quốc phòng: 15 ngày làm việc.
4. Cục Chính sách/Tổng cục Chính trị: 25 ngày làm việc.
* Cách thức thực hiện: Cá nhân gửi hồ sơ đến cơ quan, đơn vị quản lý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khai cá nhân đề nghị giải quyết chế độ người hoạt động kháng chiến bị nhiễm chất độc hóa học (Mẫu HH1).</w:t>
            </w:r>
          </w:p>
        </w:tc>
        <w:tc>
          <w:p/>
          <w:p>
            <w:pPr>
              <w:spacing w:after="0" w:before="0" w:lineRule="auto" w:line="276"/>
              <w:jc w:val="left"/>
            </w:pPr>
            <w:r>
              <w:rPr>
                <w:rFonts w:ascii="Times New Roman" w:hAnsi="Times New Roman" w:cs="Times New Roman" w:eastAsia="Times New Roman"/>
                <w:b w:val="false"/>
                <w:sz w:val="26"/>
              </w:rPr>
              <w:t>Mẫu HH1.doc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có chứng thực một trong những giấy tờ chứng minh có thời gian tham gia kháng chiến tại vùng quân đội Mỹ sử dụng chất độc hoá học: Giấy XYZ; giấy chuyển thương,   chuyển viện; giấy điều trị; giấy tờ khác chứng minh có tham gia hoạt động kháng chiến tại vùng mà quân đội Mỹ sử dụng chất độc hoá học từ ngày 30 tháng 4 năm 1975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c)	Bản sao có chứng thực một trong các giấy tờ: Lý lịch cán bộ; Lý lịch đảng viên; Lý lịch quân nhân; Huân chương hoặc Huy chương chiến sĩ giải phóng.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d)	Bản sao có chứng thực bệnh án điều trị tại cơ sở y tế có thẩm quyền do Bộ y tế quy định, trừ các trường hợp sau đây: -	Người hoạt động kháng chiến bị nhiễm chất độc hóa học dẫn đến vô sinh theo quyết định của cơ quan y tế có thẩm quyền của Bộ Y tế quy định. Người hoạt động kháng chiến không có vợ (chồng) hoặc có vợ (chồng) nhưng không có con hoặc đã có con trước khi tham gia kháng chiến, sau khi trở về không sinh thêm con, nay đã hết tuổi lao động (nữ đủ 55 tuổi, nam đủ 60 tuổi) được đơn vị cấp trung đoàn trở lên xác nhận. -	Người hoạt động kháng chiến bị nhiễm chất độc hóa học không mắc bệnh theo danh mục bệnh tật do Bộ Y tế quy định làm suy giảm khả năng lao động từ 21% trở lên, nhưng sinh con dị dạng, dị tật được Hội đồng giám định y khoa có thẩm quyền kết luận.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Chính sách - Xã hội/Tổng cục Chính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đơn vị quản lý trực tiếp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Quân y/TCHC, Hội đồng giám định y khoa trung ương, Cơ quan, đơn vị từ cấp trung đoàn trở lên, Cục Chính sách - Xã hội/Tổng cục Chính trị</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người hoạt động kháng chiến bị nhiễm chất độc hóa học và trợ cấp, phụ cấp hàng tháng (Mẫu HH4)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202/2013/TT-BQP</w:t>
            </w:r>
          </w:p>
        </w:tc>
        <w:tc>
          <w:p/>
          <w:p>
            <w:pPr>
              <w:spacing w:after="0" w:before="0" w:lineRule="auto" w:line="276"/>
              <w:jc w:val="left"/>
            </w:pPr>
            <w:r>
              <w:rPr>
                <w:rFonts w:ascii="Times New Roman" w:hAnsi="Times New Roman" w:cs="Times New Roman" w:eastAsia="Times New Roman"/>
                <w:b w:val="false"/>
                <w:sz w:val="26"/>
              </w:rPr>
              <w:t>Khoản 2 Điều 15, khoản 2 Điều 16, khoản 2 Điều 17 Thông tư 202/2013/TT-BQP hướng dẫn về trình tự, thủ tục xác nhận, tổ chức thực hiện chế độ ưu đãi người có công với cách mạng thuộc trách nhiệm của Bộ Quốc phòng</w:t>
            </w:r>
          </w:p>
        </w:tc>
        <w:tc>
          <w:p/>
          <w:p>
            <w:pPr>
              <w:spacing w:after="0" w:before="0" w:lineRule="auto" w:line="276"/>
              <w:jc w:val="left"/>
            </w:pPr>
            <w:r>
              <w:rPr>
                <w:rFonts w:ascii="Times New Roman" w:hAnsi="Times New Roman" w:cs="Times New Roman" w:eastAsia="Times New Roman"/>
                <w:b w:val="false"/>
                <w:sz w:val="26"/>
              </w:rPr>
              <w:t>07-11-2013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Đã công tác, chiến đấu, phục vụ chiến đấu từ ngày 01 tháng 8 năm 1961 đến 30 tháng 4 năm 1975 tại các vùng mà quân đội Mỹ đã sử dụng chất độc hóa học ở chiến trường B, C, K (kể cả 10 xã: Vĩnh Quang, Vĩnh Giang, Vĩnh Tân, Vĩnh Thành, Vĩnh Ô, Vĩnh Khê, Vĩnh Hà, Vĩnh Lâm, Vĩnh Sơn và Vĩnh Thủy thuộc huyện Vĩnh Linh, tỉnh Quảng Trị).
b)	Do nhiễm chất độc hóa học dẫn đến một trong các trường hợp bệnh tật sau:
-	Mắc bệnh theo danh mục bệnh tật do Bộ Y tế quy định làm suy giảm khả năng lao động từ 21% trở lên;
-	Vô sinh;
-	Sinh con dị dạng, dị tật theo danh mục dị dạng, dị tật do Bộ Y tế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2026-05-13T15:34:52Z</dcterms:created>
  <dc:creator>Apache POI</dc:creator>
</cp:coreProperties>
</file>