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5461/QĐ-BCA-C07</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thiết kế về phòng cháy chữa cháy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tổ chức chuẩn bị hồ sơ theo quy định của pháp luật.
- Bước 2: cá nhân, tổ chức nộp hồ sơ tại Cục Cảnh sát phòng cháy, chữa cháy và cứu nạn, cứu hộ; Phòng Cảnh sát phòng cháy, chữa cháy và cứu nạn, cứu hộ Công an cấp tỉnh, thành phố trực thuộc trung ương.
- Bước 3: cán bộ tiếp nhận kiểm tra tính hợp lệ và thành phần của hồ sơ (hồ sơ đề nghị thẩm định thiết kế về phòng cháy và chữa cháy là hồ sơ điện tử hoặc hồ sơ giấy và phải có xác nhận của chủ đầu tư, chủ sở hữu công trình, chủ phương tiện giao thông và đơn vị tư vấn thiết kế; trường hợp hồ sơ giấy thì giấy tờ, tài liệu là bản chính hoặc bản chụp kèm theo bản chính để bộ phận tiếp nhận hồ sơ đối chiếu).
+ Nếu hồ sơ hợp lệ và đủ thành phần thì viết giấy tiếp nhận hồ sơ và hẹn trả kết quả hoặc thông báo về việc tiếp nhận hồ sơ qua Cổng Dịch vụ công;
+ Nếu hồ sơ chưa đầy đủ thành phần hoặc chưa hợp lệ thì viết phiếu yêu cầu bổ sung, hoàn thiện hồ sơ hoặc phiếu từ chối tiếp nhận, giải quyết hồ sơ hoặc thông báo về việc yêu cầu chỉnh sửa, bổ sung hồ sơ qua Cổng Dịch vụ công.
- Bước 4: căn cứ theo ngày hẹn trên Giấy tiếp nhận giải quyết thủ tục hành chính về phòng cháy, chữa cháy cá nhân, tổ chức đến nơi nộp hồ sơ để nhận kết quả trực tiếp hoặc qua dịch vụ bưu chính hoặc nhận kết quả điện tử trên Cổng Dịch vụ công.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(quy định tại Điều 26 và phụ lục Ia Thông tư 37/2025/TT-BCA ngày 15/5/2025.)</w:t>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thuộc Cục Cảnh sát phòng cháy, chữa cháy và cứu nạn, cứu hộ; Phòng Cảnh sát phòng cháy, chữa cháy và cứu nạn, cứu hộ Công an cấp tỉnh, thành phố trực thuộc trung ương.
10 ngày từ ngày nhận đủ hồ sơ hợp lệ đối với công trình thuộc dự án không phân biệt nguồn vốn đầu tư đáp ứng tiêu chí phân loại dự án quan trọng quốc gia, dự án nhóm A theo quy định của pháp luật về đầu tư công; 06 ngày làm việc từ ngày nhận đủ hồ sơ hợp lệ đối với phương tiện giao thông và các công trình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(quy định tại Điều 26 và phụ lục Ia Thông tư 37/2025/TT-BCA ngày 15/5/2025.)</w:t>
            </w:r>
          </w:p>
        </w:tc>
        <w:tc>
          <w:p/>
          <w:p>
            <w:pPr>
              <w:spacing w:after="0" w:before="0" w:lineRule="auto" w:line="276"/>
              <w:jc w:val="left"/>
            </w:pPr>
            <w:r>
              <w:rPr>
                <w:rFonts w:ascii="Times New Roman" w:hAnsi="Times New Roman" w:cs="Times New Roman" w:eastAsia="Times New Roman"/>
                <w:b w:val="false"/>
                <w:sz w:val="26"/>
              </w:rPr>
              <w:t>Nộp hồ sơ qua dịch vụ bưu chính
10 ngày từ ngày nhận đủ hồ sơ hợp lệ đối với công trình thuộc dự án không phân biệt nguồn vốn đầu tư đáp ứng tiêu chí phân loại dự án quan trọng quốc gia, dự án nhóm A theo quy định của pháp luật về đầu tư công; 06 ngày làm việc từ ngày nhận đủ hồ sơ hợp lệ đối với phương tiện giao thông và các công trình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(quy định tại Điều 26 và phụ lục Ia Thông tư 37/2025/TT-BCA ngày 15/5/2025.)</w:t>
            </w:r>
          </w:p>
        </w:tc>
        <w:tc>
          <w:p/>
          <w:p>
            <w:pPr>
              <w:spacing w:after="0" w:before="0" w:lineRule="auto" w:line="276"/>
              <w:jc w:val="left"/>
            </w:pPr>
            <w:r>
              <w:rPr>
                <w:rFonts w:ascii="Times New Roman" w:hAnsi="Times New Roman" w:cs="Times New Roman" w:eastAsia="Times New Roman"/>
                <w:b w:val="false"/>
                <w:sz w:val="26"/>
              </w:rPr>
              <w:t>Nộp hồ sơ tại Cổng Dịch vụ công.
10 ngày từ ngày nhận đủ hồ sơ hợp lệ đối với công trình thuộc dự án không phân biệt nguồn vốn đầu tư đáp ứng tiêu chí phân loại dự án quan trọng quốc gia, dự án nhóm A theo quy định của pháp luật về đầu tư công; 06 ngày làm việc từ ngày nhận đủ hồ sơ hợp lệ đối với phương tiện giao thông và các công trình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phương tiện giao thông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thẩm định thiết kế về phòng cháy và chữa cháy theo (Mẫu số PC11 ban hành kèm theo Nghị định số  105/2025/NĐ-CP ngày 15/5/2025 của Chính phủ).</w:t>
            </w:r>
          </w:p>
        </w:tc>
        <w:tc>
          <w:p/>
          <w:p>
            <w:pPr>
              <w:spacing w:after="0" w:before="0" w:lineRule="auto" w:line="276"/>
              <w:jc w:val="left"/>
            </w:pPr>
            <w:r>
              <w:rPr>
                <w:rFonts w:ascii="Times New Roman" w:hAnsi="Times New Roman" w:cs="Times New Roman" w:eastAsia="Times New Roman"/>
                <w:b w:val="false"/>
                <w:sz w:val="26"/>
              </w:rPr>
              <w:t>PC11.docx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thiết kế kỹ thuật thể hiện những nội dung yêu cầu về phòng cháy và chữa cháy quy định tại điểm d khoản 2 Điều 16  Luật Phòng cháy, chữa cháy và cứu nạn, cứu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thiết kế kỹ thuật hoặc thiết kế bản vẽ thi công công trình trong báo cáo kinh tế - kỹ thuật đầu tư xây dựng, thiết kế xây dựng triển khai sau thiết kế cơ sở: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thẩm định thiết kế về phòng cháy và chữa cháy theo (Mẫu số PC11 ban hành kèm theo Nghị định số 105/2025/NĐ-CP ngày 15/5/2025 của  Chính phủ)</w:t>
            </w:r>
          </w:p>
        </w:tc>
        <w:tc>
          <w:p/>
          <w:p>
            <w:pPr>
              <w:spacing w:after="0" w:before="0" w:lineRule="auto" w:line="276"/>
              <w:jc w:val="left"/>
            </w:pPr>
            <w:r>
              <w:rPr>
                <w:rFonts w:ascii="Times New Roman" w:hAnsi="Times New Roman" w:cs="Times New Roman" w:eastAsia="Times New Roman"/>
                <w:b w:val="false"/>
                <w:sz w:val="26"/>
              </w:rPr>
              <w:t>PC11.docx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hợp pháp về đất đai chứng minh sự phù hợp mục đích sử dụng đất và sở hữu công trình hoặc văn bản về chủ trương đầu tư, xây dựng công trình theo quy định pháp luật về đầu tư, pháp luật về đầu tư công, pháp luật về đầu tư theo  phương thức đối tác công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thiết kế kỹ thuật hoặc thiết kế bản vẽ thi công thể hiện những nội dung quy định tại điểm e và điểm g khoản 1 Điều 16 Luật Phòng cháy,  chữa cháy và cứu nạn, cứu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thẩm định thiết kế về phòng cháy và chữa cháy của chủ đầu tư,  chủ sở hữu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cảnh sát phòng cháy, chữa cháy và cứu nạn cứu hộ</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thẩm định thiết kế về phòng cháy và chữa cháy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2026-05-13T16:34:43Z</dcterms:created>
  <dc:creator>Apache POI</dc:creator>
</cp:coreProperties>
</file>