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QĐ/0001-NHPTVN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cho vay vốn đầu tư nhận ủy thác\Ký kết, thanh lý hợp đồng ủy thác Tại Hội Sở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vốn uỷ thác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Ký kết hợp đồng ủy thác:</w:t>
      </w:r>
    </w:p>
    <w:p>
      <w:pPr>
        <w:spacing w:after="0" w:before="0" w:lineRule="auto" w:line="276"/>
        <w:jc w:val="both"/>
      </w:pPr>
      <w:r>
        <w:rPr>
          <w:rFonts w:ascii="Times New Roman" w:hAnsi="Times New Roman" w:cs="Times New Roman" w:eastAsia="Times New Roman"/>
          <w:b w:val="false"/>
          <w:sz w:val="26"/>
        </w:rPr>
        <w:t>Bước 1. Tiếp nhận hồ sơ: Ban Hỗ trợ sau đầu tư và quản lý vốn uỷ thác (Ban HTUT) chủ trì tiếp nhận hồ sơ do đơn vị uỷ thác gửi đến.</w:t>
      </w:r>
    </w:p>
    <w:p>
      <w:pPr>
        <w:spacing w:after="0" w:before="0" w:lineRule="auto" w:line="276"/>
        <w:jc w:val="both"/>
      </w:pPr>
      <w:r>
        <w:rPr>
          <w:rFonts w:ascii="Times New Roman" w:hAnsi="Times New Roman" w:cs="Times New Roman" w:eastAsia="Times New Roman"/>
          <w:b w:val="false"/>
          <w:sz w:val="26"/>
        </w:rPr>
        <w:t>Bước 2. Kiểm tra hồ sơ: 
a) Ban HTUT tiến hành kiểm tra tính đầy đủ, hợp pháp, hợp lệ của hồ sơ theo quy định. 
b) NHPT gửi thông báo tới đơn vị uỷ thác kèm theo dự thảo hợp đồng uỷ thác.</w:t>
      </w:r>
    </w:p>
    <w:p>
      <w:pPr>
        <w:spacing w:after="0" w:before="0" w:lineRule="auto" w:line="276"/>
        <w:jc w:val="both"/>
      </w:pPr>
      <w:r>
        <w:rPr>
          <w:rFonts w:ascii="Times New Roman" w:hAnsi="Times New Roman" w:cs="Times New Roman" w:eastAsia="Times New Roman"/>
          <w:b w:val="false"/>
          <w:sz w:val="26"/>
        </w:rPr>
        <w:t>Bước 3. Đàm phán hợp đồng uỷ thác.</w:t>
      </w:r>
    </w:p>
    <w:p>
      <w:pPr>
        <w:spacing w:after="0" w:before="0" w:lineRule="auto" w:line="276"/>
        <w:jc w:val="both"/>
      </w:pPr>
      <w:r>
        <w:rPr>
          <w:rFonts w:ascii="Times New Roman" w:hAnsi="Times New Roman" w:cs="Times New Roman" w:eastAsia="Times New Roman"/>
          <w:b w:val="false"/>
          <w:sz w:val="26"/>
        </w:rPr>
        <w:t>Bước 4. Ký kết hợp đồng uỷ thác.</w:t>
      </w:r>
    </w:p>
    <w:p>
      <w:pPr>
        <w:spacing w:after="0" w:before="0" w:lineRule="auto" w:line="276"/>
        <w:jc w:val="both"/>
      </w:pPr>
      <w:r>
        <w:rPr>
          <w:rFonts w:ascii="Times New Roman" w:hAnsi="Times New Roman" w:cs="Times New Roman" w:eastAsia="Times New Roman"/>
          <w:b w:val="false"/>
          <w:sz w:val="26"/>
        </w:rPr>
        <w:t>Bước 5. Giao nhiệm vụ cho Chi nhánh NHPT triển khai thực hiện.</w:t>
      </w:r>
    </w:p>
    <w:p>
      <w:pPr>
        <w:spacing w:after="0" w:before="0" w:lineRule="auto" w:line="276"/>
        <w:jc w:val="both"/>
      </w:pPr>
      <w:r>
        <w:rPr>
          <w:rFonts w:ascii="Times New Roman" w:hAnsi="Times New Roman" w:cs="Times New Roman" w:eastAsia="Times New Roman"/>
          <w:b w:val="false"/>
          <w:sz w:val="26"/>
        </w:rPr>
        <w:t>II. Thanh lý hợp đồng ủy thác:</w:t>
      </w:r>
    </w:p>
    <w:p>
      <w:pPr>
        <w:spacing w:after="0" w:before="0" w:lineRule="auto" w:line="276"/>
        <w:jc w:val="both"/>
      </w:pPr>
      <w:r>
        <w:rPr>
          <w:rFonts w:ascii="Times New Roman" w:hAnsi="Times New Roman" w:cs="Times New Roman" w:eastAsia="Times New Roman"/>
          <w:b w:val="false"/>
          <w:sz w:val="26"/>
        </w:rPr>
        <w:t>Bước 1. Ngân hàng phát triển thông báo cho bên uỷ thác về việc thanh lý hợp đồng cho vay vốn uỷ thác</w:t>
      </w:r>
    </w:p>
    <w:p>
      <w:pPr>
        <w:spacing w:after="0" w:before="0" w:lineRule="auto" w:line="276"/>
        <w:jc w:val="both"/>
      </w:pPr>
      <w:r>
        <w:rPr>
          <w:rFonts w:ascii="Times New Roman" w:hAnsi="Times New Roman" w:cs="Times New Roman" w:eastAsia="Times New Roman"/>
          <w:b w:val="false"/>
          <w:sz w:val="26"/>
        </w:rPr>
        <w:t>Bước 2. Hai bên ký văn bản thanh lý hợp đồng uỷ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Ký hợp đồng ủy thác: Tối đa 12 ngày làm việc kể từ khi nhận đủ hồ sơ đề nghị uỷ thác của đơn vị uỷ thác.
2. Thanh lý hợp đồng: Tối đa 15 ngày làm việc kể từ ngày Hợp đồng uỷ thác chấm dứt.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Ký hợp đồng ủy thác: Tối đa 12 ngày làm việc kể từ khi nhận đủ hồ sơ đề nghị uỷ thác của đơn vị uỷ thác.
2. Thanh lý hợp đồng: Tối đa 15 ngày làm việc kể từ ngày Hợp đồng uỷ thác chấm dứt.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I. Ký kết hợp đồng ủy thác: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của Đơn vị uỷ thác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Quyết định thành lập đơn vị; Quyết định phê duyệt điều lệ, tổ chức hoạt động của đơn vị (nếu có)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chứng nhận đăng ký kinh doanh (nếu đơn vị là doanh nghiệp)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Quyết định giao nhiệm vụ (hoặc giấy uỷ quyền) làm đại diện Đơn vị uỷ thác của Đơn vị uỷ thác (trường hợp ký hợp đồng theo uỷ quyền)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Các tài liệu khác liên quan đến chương trình, dự án được uỷ thác,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Quyết định cho phép tiến hành nghiên cứu, lập chương trình, dự án hoặc Quyết định phê duyệt chương trình, dự án của cấp có thẩm quyền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Danh mục các chương trình, dự án được uỷ thác kèm theo các điều kiện uỷ thác cụ thể đối với từng chương trình, dự án, chủ đầu tư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 Thanh lý hợp đồng ủy thác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yêu cầu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Sở chính Ngân hàng PTVN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Giám đốc NHPT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uỷ thác quản lý, thanh toán, cho vay vốn đầu tư nhận uỷ thác., Phiếu giao nhận hồ sơ Mẫu số 01/TT-UT, Biên bản thanh lý Hợp đồng quản lý, thanh toán vốn đầu tư nhận ủy thác, Thanh toán, cho vay vốn đầu tư nhận ủy thác\Ký kết, thanh lý hợp đồng ủy thác Tại Hội Sở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Quyết định số 99/QĐ-NHPT</w:t>
            </w:r>
          </w:p>
        </w:tc>
        <w:tc>
          <w:p/>
          <w:p>
            <w:pPr>
              <w:spacing w:after="0" w:before="0" w:lineRule="auto" w:line="276"/>
              <w:jc w:val="left"/>
            </w:pPr>
            <w:r>
              <w:rPr>
                <w:rFonts w:ascii="Times New Roman" w:hAnsi="Times New Roman" w:cs="Times New Roman" w:eastAsia="Times New Roman"/>
                <w:b w:val="false"/>
                <w:sz w:val="26"/>
              </w:rPr>
              <w:t>về việc ban hành Sổ tay Nghiệp vụ quản lý, thanh toán, cho vay vốn đầu tư nhận ủy thác</w:t>
            </w:r>
          </w:p>
        </w:tc>
        <w:tc>
          <w:p/>
          <w:p>
            <w:pPr>
              <w:spacing w:after="0" w:before="0" w:lineRule="auto" w:line="276"/>
              <w:jc w:val="left"/>
            </w:pPr>
            <w:r>
              <w:rPr>
                <w:rFonts w:ascii="Times New Roman" w:hAnsi="Times New Roman" w:cs="Times New Roman" w:eastAsia="Times New Roman"/>
                <w:b w:val="false"/>
                <w:sz w:val="26"/>
              </w:rPr>
              <w:t>01-03-2008</w:t>
            </w:r>
          </w:p>
        </w:tc>
        <w:tc>
          <w:p/>
        </w:tc>
      </w:tr>
      <w:tr>
        <w:tc>
          <w:p/>
          <w:p>
            <w:pPr>
              <w:spacing w:after="0" w:before="0" w:lineRule="auto" w:line="276"/>
              <w:jc w:val="left"/>
            </w:pPr>
            <w:r>
              <w:rPr>
                <w:rFonts w:ascii="Times New Roman" w:hAnsi="Times New Roman" w:cs="Times New Roman" w:eastAsia="Times New Roman"/>
                <w:b w:val="false"/>
                <w:sz w:val="26"/>
              </w:rPr>
              <w:t>661/QĐ-NHPT</w:t>
            </w:r>
          </w:p>
        </w:tc>
        <w:tc>
          <w:p/>
          <w:p>
            <w:pPr>
              <w:spacing w:after="0" w:before="0" w:lineRule="auto" w:line="276"/>
              <w:jc w:val="left"/>
            </w:pPr>
            <w:r>
              <w:rPr>
                <w:rFonts w:ascii="Times New Roman" w:hAnsi="Times New Roman" w:cs="Times New Roman" w:eastAsia="Times New Roman"/>
                <w:b w:val="false"/>
                <w:sz w:val="26"/>
              </w:rPr>
              <w:t>Quyết định số 661/QĐ-NHPT ngày 21/12/2007 về việc ban hành mức phí quản lý, thanh toán, cho vay vốn đầu tư nhận ủy thác.</w:t>
            </w:r>
          </w:p>
        </w:tc>
        <w:tc>
          <w:p/>
          <w:p>
            <w:pPr>
              <w:spacing w:after="0" w:before="0" w:lineRule="auto" w:line="276"/>
              <w:jc w:val="left"/>
            </w:pPr>
            <w:r>
              <w:rPr>
                <w:rFonts w:ascii="Times New Roman" w:hAnsi="Times New Roman" w:cs="Times New Roman" w:eastAsia="Times New Roman"/>
                <w:b w:val="false"/>
                <w:sz w:val="26"/>
              </w:rPr>
              <w:t>01-01-2008</w:t>
            </w:r>
          </w:p>
        </w:tc>
        <w:tc>
          <w:p/>
          <w:p>
            <w:pPr>
              <w:spacing w:after="0" w:before="0" w:lineRule="auto" w:line="276"/>
              <w:jc w:val="left"/>
            </w:pPr>
            <w:r>
              <w:rPr>
                <w:rFonts w:ascii="Times New Roman" w:hAnsi="Times New Roman" w:cs="Times New Roman" w:eastAsia="Times New Roman"/>
                <w:b w:val="false"/>
                <w:sz w:val="26"/>
              </w:rPr>
              <w:t>Ngân hàng phát triển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2026-05-27T18:36:45Z</dcterms:created>
  <dc:creator>Apache POI</dc:creator>
</cp:coreProperties>
</file>