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2530/QĐ-BXD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và cấp Sổ thuyền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Tổ chức, cá nhân nộp một (01) bộ hồ sơ đề nghị đăng ký và cấp Sổ thuyền viên trực tiếp hoặc gửi qua hệ thống bưu chính hoặc qua hệ thống dịch vụ công trực tuyến đến một trong các Cơ quan đăng ký thuyền viên.</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Cơ quan đăng ký thuyền viên tiếp nhận, kiểm tra hồ sơ và xử lý như sau:</w:t>
      </w:r>
    </w:p>
    <w:p>
      <w:pPr>
        <w:spacing w:after="0" w:before="0" w:lineRule="auto" w:line="276"/>
        <w:jc w:val="both"/>
      </w:pPr>
      <w:r>
        <w:rPr>
          <w:rFonts w:ascii="Times New Roman" w:hAnsi="Times New Roman" w:cs="Times New Roman" w:eastAsia="Times New Roman"/>
          <w:b w:val="false"/>
          <w:sz w:val="26"/>
        </w:rPr>
        <w:t>+ Trường hợp hồ sơ nộp trực tiếp, nếu hồ sơ đầy đủ thì cấp giấy biên nhận hồ sơ và hẹn trả kết quả theo thời hạn quy định; nếu hồ sơ không đầy đủ theo quy định thì trả lại ngay và hướng dẫn tổ chức, cá nhân hoàn thiện lại hồ sơ;
+ Trường hợp nhận hồ sơ qua hệ thống bưu chính hoặc qua hệ thống dịch vụ công trực tuyến, nếu hồ sơ không đầy đủ theo quy định, trong thời gian chậm nhất hai (02) ngày làm việc kể từ ngày nhận được hồ sơ, cơ quan đăng ký thuyền viên hướng dẫn tổ chức, cá nhân hoàn thiện lại hồ sơ (gửi bằng văn bản hoặc thông qua tài khoản của tổ chức, cá nhân trên hệ thống dịch vụ công).</w:t>
      </w:r>
    </w:p>
    <w:p>
      <w:pPr>
        <w:spacing w:after="0" w:before="0" w:lineRule="auto" w:line="276"/>
        <w:jc w:val="both"/>
      </w:pPr>
      <w:r>
        <w:rPr>
          <w:rFonts w:ascii="Times New Roman" w:hAnsi="Times New Roman" w:cs="Times New Roman" w:eastAsia="Times New Roman"/>
          <w:b w:val="false"/>
          <w:sz w:val="26"/>
        </w:rPr>
        <w:t>- Trong thời hạn hai (02) ngày làm việc, kể từ ngày nhận đủ hồ sơ hợp lệ, theo quy định, cơ quan đăng ký thuyền viên thực hiện việc vào Sổ đăng ký thuyền viên và cấp Sổ thuyền viên theo mẫu quy định. Trường hợp không cấp, cơ quan đăng ký thuyền viên phải trả lời bằng văn bản trong thời hạn quy định tại khoản này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(190.000 đồng/sổ)</w:t>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(190.000 đồng/sổ)</w:t>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(190.000 đồng/sổ)</w:t>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đề nghị cấp Sổ thuyền viên theo mẫu;</w:t>
            </w:r>
          </w:p>
        </w:tc>
        <w:tc>
          <w:p/>
          <w:p>
            <w:pPr>
              <w:spacing w:after="0" w:before="0" w:lineRule="auto" w:line="276"/>
              <w:jc w:val="left"/>
            </w:pPr>
            <w:r>
              <w:rPr>
                <w:rFonts w:ascii="Times New Roman" w:hAnsi="Times New Roman" w:cs="Times New Roman" w:eastAsia="Times New Roman"/>
                <w:b w:val="false"/>
                <w:sz w:val="26"/>
              </w:rPr>
              <w:t>Mẫu Tờ khai đề nghị cấp, cấp lại Sổ thuyền viên.docx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Hai (02) ảnh màu (đối với trường hợp nộp hồ sơ trực tiếp hoặc qua hệ thống bưu chính), 01 tệp (file) ảnh (đối với trường hợp nộp hồ sơ qua hệ thống dịch vụ công trực tuyến), cỡ 4cm x 6cm, theo kiểu chụp ảnh căn cước công dân, chụp trong vòng 06 tháng trước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được cấp từ sổ gốc hoặc bản sao kèm bản chính để đối chiếu hoặc bản sao điện tử được cấp từ sổ gốc hoặc bản sao điện tử được chứng thực từ bản chính Giấy chứng nhận huấn luyện nghiệp vụ cơ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được cấp từ sổ gốc hoặc bản sao kèm bản chính để đối chiếu hoặc bản sao điện tử được cấp từ sổ gốc hoặc bản sao điện tử được chứng thực từ bản chính văn bằng, chứng chỉ chuyên môn phù hợp với chức danh đảm nhận đối với các chức danh không yêu cầu Giấy chứng nhận khả năng chuyên môn (đối với thuyền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sao có chứng thực hoặc bản sao được cấp từ sổ gốc hoặc bản sao điện tử được cấp từ sổ gốc hoặc bản sao điện tử được chứng thực từ bản chính văn bản tiếp nhận thực tập của chủ tàu (đối với học viên thực tập).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điện tử hợp pháp Chứng nhận hợp pháp hóa lãnh sự Hộ chiếu đối với trường hợp thuyền viên là công dân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hải và Đường thủy Việt Nam, Chi cục Hàng hải và Đường thuỷ phía Bắc, Chi cục Hàng hải và Đường thuỷ phía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Hàng hải và Đường thủy Việt Nam, Chi cục Hàng hải và Đường thuỷ phía Bắc, Chi cục Hàng hải và Đường thuỷ phía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Sổ thuyền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hoạt động chuyên ngành hàng hải</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23/2017/TT-BGTVT	</w:t>
            </w:r>
          </w:p>
        </w:tc>
        <w:tc>
          <w:p/>
          <w:p>
            <w:pPr>
              <w:spacing w:after="0" w:before="0" w:lineRule="auto" w:line="276"/>
              <w:jc w:val="left"/>
            </w:pPr>
            <w:r>
              <w:rPr>
                <w:rFonts w:ascii="Times New Roman" w:hAnsi="Times New Roman" w:cs="Times New Roman" w:eastAsia="Times New Roman"/>
                <w:b w:val="false"/>
                <w:sz w:val="26"/>
              </w:rPr>
              <w:t>Quy định về chức danh, nhiệm vụ theo chức danh của thuyền viên và đăng ký thuyền viên làm việc trên tàu biển Việt Nam</w:t>
            </w:r>
          </w:p>
        </w:tc>
        <w:tc>
          <w:p/>
          <w:p>
            <w:pPr>
              <w:spacing w:after="0" w:before="0" w:lineRule="auto" w:line="276"/>
              <w:jc w:val="left"/>
            </w:pPr>
            <w:r>
              <w:rPr>
                <w:rFonts w:ascii="Times New Roman" w:hAnsi="Times New Roman" w:cs="Times New Roman" w:eastAsia="Times New Roman"/>
                <w:b w:val="false"/>
                <w:sz w:val="26"/>
              </w:rPr>
              <w:t>28-07-2017</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56/2023/TT-BGTVT</w:t>
            </w:r>
          </w:p>
        </w:tc>
        <w:tc>
          <w:p/>
          <w:p>
            <w:pPr>
              <w:spacing w:after="0" w:before="0" w:lineRule="auto" w:line="276"/>
              <w:jc w:val="left"/>
            </w:pPr>
            <w:r>
              <w:rPr>
                <w:rFonts w:ascii="Times New Roman" w:hAnsi="Times New Roman" w:cs="Times New Roman" w:eastAsia="Times New Roman"/>
                <w:b w:val="false"/>
                <w:sz w:val="26"/>
              </w:rPr>
              <w:t>Sửa đổi Thông tư 23/2017/TT-BGTVT quy định về chức danh, nhiệm vụ theo chức danh của thuyền viên và đăng ký thuyền viên làm việc trên tàu biển Việt Nam</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2026-05-20T10:08:48Z</dcterms:created>
  <dc:creator>Apache POI</dc:creator>
</cp:coreProperties>
</file>