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1.002805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1743/QĐ-BGTVT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phép liên vận GMS hoặc sổ TAD</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Đường bộ</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 Nộp hồ sơ:</w:t>
      </w:r>
    </w:p>
    <w:p>
      <w:pPr>
        <w:spacing w:after="0" w:before="0" w:lineRule="auto" w:line="276"/>
        <w:jc w:val="both"/>
      </w:pPr>
      <w:r>
        <w:rPr>
          <w:rFonts w:ascii="Times New Roman" w:hAnsi="Times New Roman" w:cs="Times New Roman" w:eastAsia="Times New Roman"/>
          <w:b w:val="false"/>
          <w:sz w:val="26"/>
        </w:rPr>
        <w:t>- Đơn vị kinh doanh vận tải nộp hồ sơ đề nghị cấp lại Giấy phép liên vận GMS hoặc sổ TAD đến Cục Đường bộ Việt Nam.</w:t>
      </w:r>
    </w:p>
    <w:p>
      <w:pPr>
        <w:shd w:val="clear" w:color="auto" w:fill="F2F6F9"/>
        <w:spacing w:after="0" w:before="120" w:lineRule="auto" w:line="276"/>
        <w:jc w:val="both"/>
      </w:pPr>
      <w:r>
        <w:rPr>
          <w:rFonts w:ascii="Times New Roman" w:hAnsi="Times New Roman" w:cs="Times New Roman" w:eastAsia="Times New Roman"/>
          <w:b w:val="true"/>
          <w:sz w:val="26"/>
        </w:rPr>
        <w:t>b) Giải quyết TTHC:</w:t>
      </w:r>
    </w:p>
    <w:p>
      <w:pPr>
        <w:spacing w:after="0" w:before="0" w:lineRule="auto" w:line="276"/>
        <w:jc w:val="both"/>
      </w:pPr>
      <w:r>
        <w:rPr>
          <w:rFonts w:ascii="Times New Roman" w:hAnsi="Times New Roman" w:cs="Times New Roman" w:eastAsia="Times New Roman"/>
          <w:b w:val="false"/>
          <w:sz w:val="26"/>
        </w:rPr>
        <w:t>- Cục Đường bộ Việt Nam tiếp nhận, kiểm tra hồ sơ. Trường hợp tiếp nhận hồ sơ trực tiếp hoặc qua đường bưu chính, cán bộ tiếp nhận hồ sơ cập nhật thông tin của các hồ sơ đúng theo quy định vào hệ thống dịch vụ công trực tuyến của Cục Đường bộ Việt Nam. Trường hợp hồ sơ cần sửa đổi, bổ sung, Cục Đường bộ Việt Nam thông báo trực tiếp hoặc bằng văn bản hoặc qua hệ thống dịch vụ công trực tuyến cho đơn vị kinh doanh vận tải trong thời hạn 01 ngày làm việc kể từ ngày nhận hồ sơ;</w:t>
      </w:r>
    </w:p>
    <w:p>
      <w:pPr>
        <w:spacing w:after="0" w:before="0" w:lineRule="auto" w:line="276"/>
        <w:jc w:val="both"/>
      </w:pPr>
      <w:r>
        <w:rPr>
          <w:rFonts w:ascii="Times New Roman" w:hAnsi="Times New Roman" w:cs="Times New Roman" w:eastAsia="Times New Roman"/>
          <w:b w:val="false"/>
          <w:sz w:val="26"/>
        </w:rPr>
        <w:t>- Trong thời hạn 02 ngày làm việc kể từ ngày nhận đủ hồ sơ hợp lệ theo quy định, Cục Đường bộ Việt Nam cấp giấy phép thực hiện cấp Giấy phép liên vận GMS. Trường hợp không cấp, Cục Đường bộ Việt Nam thông báo bằng văn bản hoặc qua hệ thống dịch vụ công trực tuyến và nêu rõ lý do;</w:t>
      </w:r>
    </w:p>
    <w:p>
      <w:pPr>
        <w:spacing w:after="0" w:before="0" w:lineRule="auto" w:line="276"/>
        <w:jc w:val="both"/>
      </w:pPr>
      <w:r>
        <w:rPr>
          <w:rFonts w:ascii="Times New Roman" w:hAnsi="Times New Roman" w:cs="Times New Roman" w:eastAsia="Times New Roman"/>
          <w:b w:val="false"/>
          <w:sz w:val="26"/>
        </w:rPr>
        <w:t>- Việc trả kết quả được thực hiện tại trụ sở Cục Đường bộ Việt Nam hoặc qua đường bưu chính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02 ngày làm việc kể từ ngày nhận đủ hồ sơ hợp lệ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02 ngày làm việc kể từ ngày nhận đủ hồ sơ hợp lệ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02 ngày làm việc kể từ ngày nhận đủ hồ sơ hợp lệ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đề nghị cấp lại Giấy phép liên vận GMS hoặc sổ TAD theo mẫu;</w:t>
            </w:r>
          </w:p>
        </w:tc>
        <w:tc>
          <w:p/>
          <w:p>
            <w:pPr>
              <w:spacing w:after="0" w:before="0" w:lineRule="auto" w:line="276"/>
              <w:jc w:val="left"/>
            </w:pPr>
            <w:r>
              <w:rPr>
                <w:rFonts w:ascii="Times New Roman" w:hAnsi="Times New Roman" w:cs="Times New Roman" w:eastAsia="Times New Roman"/>
                <w:b w:val="false"/>
                <w:sz w:val="26"/>
              </w:rPr>
              <w:t>Mẫu.docx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chứng nhận đăng ký xe ô tô hoặc bản sao giấy hẹn nhận Giấy chứng nhận đăng ký xe ô tô của cơ quan cấp đăng ký hoặc bản sao từ sổ gốc của Giấy chứng nhận đăng ký xe ô tô. Trường hợp phương tiện không thuộc quyền sở hữu của đơn vị kinh doanh vận tải phải xuất trình thêm bản sao một trong các giấy tờ sau: Hợp đồng thuê phương tiện bằng văn bản với tổ chức, cá nhân hoặc hợp đồng dịch vụ giữa thành viên và hợp tác xã hoặc hợp đồng hợp tác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Đường bộ Việt Nam</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Cục Đường bộ Việt Nam</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liên vận GMS, Sổ theo dõi Tạm nhập Phương tiện vận tải (Sổ TAD)</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119/2021/NĐ-CP</w:t>
            </w:r>
          </w:p>
        </w:tc>
        <w:tc>
          <w:p/>
          <w:p>
            <w:pPr>
              <w:spacing w:after="0" w:before="0" w:lineRule="auto" w:line="276"/>
              <w:jc w:val="left"/>
            </w:pPr>
            <w:r>
              <w:rPr>
                <w:rFonts w:ascii="Times New Roman" w:hAnsi="Times New Roman" w:cs="Times New Roman" w:eastAsia="Times New Roman"/>
                <w:b w:val="false"/>
                <w:sz w:val="26"/>
              </w:rPr>
              <w:t>Nghị định 119/2021/NĐ-CP</w:t>
            </w:r>
          </w:p>
        </w:tc>
        <w:tc>
          <w:p/>
          <w:p>
            <w:pPr>
              <w:spacing w:after="0" w:before="0" w:lineRule="auto" w:line="276"/>
              <w:jc w:val="left"/>
            </w:pPr>
            <w:r>
              <w:rPr>
                <w:rFonts w:ascii="Times New Roman" w:hAnsi="Times New Roman" w:cs="Times New Roman" w:eastAsia="Times New Roman"/>
                <w:b w:val="false"/>
                <w:sz w:val="26"/>
              </w:rPr>
              <w:t>24-12-2021</w:t>
            </w:r>
          </w:p>
        </w:tc>
        <w:tc>
          <w:p/>
        </w:tc>
      </w:tr>
      <w:tr>
        <w:tc>
          <w:p/>
          <w:p>
            <w:pPr>
              <w:spacing w:after="0" w:before="0" w:lineRule="auto" w:line="276"/>
              <w:jc w:val="left"/>
            </w:pPr>
            <w:r>
              <w:rPr>
                <w:rFonts w:ascii="Times New Roman" w:hAnsi="Times New Roman" w:cs="Times New Roman" w:eastAsia="Times New Roman"/>
                <w:b w:val="false"/>
                <w:sz w:val="26"/>
              </w:rPr>
              <w:t>41/2024/NĐ-CP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Nghị định liên quan đến quản lý hoạt động vận tải bằng xe ô tô, đào tạo lái xe ô tô và dịch vụ sát hạch lái xe</w:t>
            </w:r>
          </w:p>
        </w:tc>
        <w:tc>
          <w:p/>
          <w:p>
            <w:pPr>
              <w:spacing w:after="0" w:before="0" w:lineRule="auto" w:line="276"/>
              <w:jc w:val="left"/>
            </w:pPr>
            <w:r>
              <w:rPr>
                <w:rFonts w:ascii="Times New Roman" w:hAnsi="Times New Roman" w:cs="Times New Roman" w:eastAsia="Times New Roman"/>
                <w:b w:val="false"/>
                <w:sz w:val="26"/>
              </w:rPr>
              <w:t>16-04-2024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2026-04-29T10:02:06Z</dcterms:created>
  <dc:creator>Apache POI</dc:creator>
</cp:coreProperties>
</file>