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hàng hóa sử dụng trực tiếp cho phát triển hoạt động ươm tạo công nghệ, ươm tạo doanh nghiệp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hồ sơ về Trung tâm Phục vụ hành chính công cấp tỉnh (Ủy ban nhân dân cấp tỉnh) nơi có dự án, cơ sở ươm tạo công nghệ, ươm tạo doanh nghiệp khoa học và công nghệ;
- Trong thời hạn 03 ngày làm việc kể từ ngày nhận được hồ sơ, Ủy ban nhân dân cấp tỉnh xem xét hồ sơ và thông báo cho tổ chức, cá nhân nếu hồ sơ không hợp lệ, cần bổ sung hoặc sửa đổi;
- Trong thời hạn 07 ngày làm việc kể từ ngày nhận được hồ sơ hợp lệ, Ủy ban nhân dân cấp tỉnh có văn bản trả lời tổ chức, cá nhân trong đó xác định rõ danh mục hàng hóa sử dụng trực tiếp cho phát triển hoạt động ươm tạo công nghệ, ươm tạo doanh nghiệp khoa học và công nghệ; trường hợp từ chối xác nhận phải có văn bản nêu rõ lý do;
Ủy ban nhân dân cấp tỉnh có văn bản thông báo cho tổ chức, cá nhân về việc gia hạn thời gian trả lời trong trường hợp phải thẩm tra hồ sơ.
- Trường hợp cần thiết, Ủy ban nhân dân cấp tỉnh tổ chức hội đồng để thẩm tra hồ sơ trước khi có văn bản trả lời. Thời gian thẩm tra và trả lời không quá 15 ngày làm việc kể từ ngày nhận được hồ sơ hợp lệ; trường hợp từ chối xác nhận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xác nhận.</w:t>
            </w:r>
          </w:p>
        </w:tc>
        <w:tc>
          <w:p/>
          <w:p>
            <w:pPr>
              <w:spacing w:after="0" w:before="0" w:lineRule="auto" w:line="276"/>
              <w:jc w:val="left"/>
            </w:pPr>
            <w:r>
              <w:rPr>
                <w:rFonts w:ascii="Times New Roman" w:hAnsi="Times New Roman" w:cs="Times New Roman" w:eastAsia="Times New Roman"/>
                <w:b w:val="false"/>
                <w:sz w:val="26"/>
              </w:rPr>
              <w:t>Mẫu số 01 - xac nhan hang hoa su dung truc tiep.docx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minh chứng liên quan để xác định giao dịch mua bán,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xuất trình kèm bản chính để đối chiếu) giấy chứng nhận đăng ký đầu tư, giấy chứng nhận đăng ký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tổ chức, cá nhân về đề nghị xác nhận hàng hóa sử dụng trực tiếp cho phát triển hoạt động ươm tạo công nghệ, ươm tạo doanh nghiệp KH&amp;CN.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Luật 107/2016/QH13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134/2016/NĐ-CP</w:t>
            </w:r>
          </w:p>
        </w:tc>
        <w:tc>
          <w:p/>
          <w:p>
            <w:pPr>
              <w:spacing w:after="0" w:before="0" w:lineRule="auto" w:line="276"/>
              <w:jc w:val="left"/>
            </w:pPr>
            <w:r>
              <w:rPr>
                <w:rFonts w:ascii="Times New Roman" w:hAnsi="Times New Roman" w:cs="Times New Roman" w:eastAsia="Times New Roman"/>
                <w:b w:val="false"/>
                <w:sz w:val="26"/>
              </w:rPr>
              <w:t>Nghị định 134/2016/NĐ-CP</w:t>
            </w:r>
          </w:p>
        </w:tc>
        <w:tc>
          <w:p/>
          <w:p>
            <w:pPr>
              <w:spacing w:after="0" w:before="0" w:lineRule="auto" w:line="276"/>
              <w:jc w:val="left"/>
            </w:pPr>
            <w:r>
              <w:rPr>
                <w:rFonts w:ascii="Times New Roman" w:hAnsi="Times New Roman" w:cs="Times New Roman" w:eastAsia="Times New Roman"/>
                <w:b w:val="false"/>
                <w:sz w:val="26"/>
              </w:rPr>
              <w:t>01-09-2016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14/2017/TT-BKHCN</w:t>
            </w:r>
          </w:p>
        </w:tc>
        <w:tc>
          <w:p/>
          <w:p>
            <w:pPr>
              <w:spacing w:after="0" w:before="0" w:lineRule="auto" w:line="276"/>
              <w:jc w:val="left"/>
            </w:pPr>
            <w:r>
              <w:rPr>
                <w:rFonts w:ascii="Times New Roman" w:hAnsi="Times New Roman" w:cs="Times New Roman" w:eastAsia="Times New Roman"/>
                <w:b w:val="false"/>
                <w:sz w:val="26"/>
              </w:rPr>
              <w:t>Thông tư 14/2017/TT-BKHCN</w:t>
            </w:r>
          </w:p>
        </w:tc>
        <w:tc>
          <w:p/>
          <w:p>
            <w:pPr>
              <w:spacing w:after="0" w:before="0" w:lineRule="auto" w:line="276"/>
              <w:jc w:val="left"/>
            </w:pPr>
            <w:r>
              <w:rPr>
                <w:rFonts w:ascii="Times New Roman" w:hAnsi="Times New Roman" w:cs="Times New Roman" w:eastAsia="Times New Roman"/>
                <w:b w:val="false"/>
                <w:sz w:val="26"/>
              </w:rPr>
              <w:t>01-12-2017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30/2018/QĐ-TTg</w:t>
            </w:r>
          </w:p>
        </w:tc>
        <w:tc>
          <w:p/>
          <w:p>
            <w:pPr>
              <w:spacing w:after="0" w:before="0" w:lineRule="auto" w:line="276"/>
              <w:jc w:val="left"/>
            </w:pPr>
            <w:r>
              <w:rPr>
                <w:rFonts w:ascii="Times New Roman" w:hAnsi="Times New Roman" w:cs="Times New Roman" w:eastAsia="Times New Roman"/>
                <w:b w:val="false"/>
                <w:sz w:val="26"/>
              </w:rPr>
              <w:t>Quyết định 30/2018/QĐ-TTg</w:t>
            </w:r>
          </w:p>
        </w:tc>
        <w:tc>
          <w:p/>
          <w:p>
            <w:pPr>
              <w:spacing w:after="0" w:before="0" w:lineRule="auto" w:line="276"/>
              <w:jc w:val="left"/>
            </w:pPr>
            <w:r>
              <w:rPr>
                <w:rFonts w:ascii="Times New Roman" w:hAnsi="Times New Roman" w:cs="Times New Roman" w:eastAsia="Times New Roman"/>
                <w:b w:val="false"/>
                <w:sz w:val="26"/>
              </w:rPr>
              <w:t>31-07-2018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18/2021/ND-CP</w:t>
            </w:r>
          </w:p>
        </w:tc>
        <w:tc>
          <w:p/>
          <w:p>
            <w:pPr>
              <w:spacing w:after="0" w:before="0" w:lineRule="auto" w:line="276"/>
              <w:jc w:val="left"/>
            </w:pPr>
            <w:r>
              <w:rPr>
                <w:rFonts w:ascii="Times New Roman" w:hAnsi="Times New Roman" w:cs="Times New Roman" w:eastAsia="Times New Roman"/>
                <w:b w:val="false"/>
                <w:sz w:val="26"/>
              </w:rPr>
              <w:t>Nghị định số 18/2021/NĐ-CP ngày 11/3/2021 của Chính phủ sửa đổi, bổ sung một số điều của Nghị định số 134/2016/NĐ-CP ngày 01/9/2016 của Chính phủ quy định chi tiết một số điều và biện pháp thi hành Luật Thuế xuất khẩu, thuế nhập khẩu</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Hàng hóa thuộc Danh mục hoặc đáp ứng tiêu chí theo quy định của Thông tư số 14/2017/TT-BKHCN ngày 01/12/2017 của Bộ trưởng Bộ Khoa học và Công nghệ quy định tiêu chí xác định phương tiện vận tải, máy móc, thiết bị, phụ tùng, vật tư chuyên dùng và danh mục tài liệu, sách báo, tạp chí khoa học quy định tại khoản 2 điều 40 Nghị định số 134/2016/NĐ-CP ngày 01 tháng 9 năm 2016 của Chính phủ quy định chi tiết một số điều và biện pháp thi hành Luật Thuế xuất khẩu, Thuế nhập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ươm tạo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2026-05-20T22:28:05Z</dcterms:created>
  <dc:creator>Apache POI</dc:creator>
</cp:coreProperties>
</file>