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nhận phương tiện vận tải chuyên dùng trong dây chuyền công nghệ sử dụng trực tiếp cho hoạt động sản xuất của dự án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gửi hồ sơ về Bộ Khoa học và Công nghệ.</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hồ sơ, Bộ Khoa học và Công nghệ xem xét hồ sơ và thông báo cho tổ chức, cá nhân nếu hồ sơ không hợp lệ, cần bổ sung hoặc sửa đổi.</w:t>
      </w:r>
    </w:p>
    <w:p>
      <w:pPr>
        <w:spacing w:after="0" w:before="0" w:lineRule="auto" w:line="276"/>
        <w:jc w:val="both"/>
      </w:pPr>
      <w:r>
        <w:rPr>
          <w:rFonts w:ascii="Times New Roman" w:hAnsi="Times New Roman" w:cs="Times New Roman" w:eastAsia="Times New Roman"/>
          <w:b w:val="false"/>
          <w:sz w:val="26"/>
        </w:rPr>
        <w:t>- Trong thời hạn 10 ngày kể từ ngày nhận được hồ sơ hợp lệ, Bộ Khoa học và Công nghệ có văn bản trả lời tổ chức, cá nhân; trường hợp từ chối xác nhận phải có văn bản nêu rõ lý do.
Bộ Khoa học và Công nghệ có văn bản thông báo cho tổ chức, cá nhân về việc gia hạn thời gian trả lời trong trường hợp phải thẩm tra hồ sơ.</w:t>
      </w:r>
    </w:p>
    <w:p>
      <w:pPr>
        <w:spacing w:after="0" w:before="0" w:lineRule="auto" w:line="276"/>
        <w:jc w:val="both"/>
      </w:pPr>
      <w:r>
        <w:rPr>
          <w:rFonts w:ascii="Times New Roman" w:hAnsi="Times New Roman" w:cs="Times New Roman" w:eastAsia="Times New Roman"/>
          <w:b w:val="false"/>
          <w:sz w:val="26"/>
        </w:rPr>
        <w:t>- Trường hợp cần thiết, Bộ Khoa học và Công nghệ tổ chức hội đồng để thẩm tra hồ sơ trước khi có văn bản trả lời. Thời gian thẩm tra và trả lời không quá 20 ngày kể từ ngày nhận được hồ sơ hợp lệ; trường hợp từ chối xác nhận phải có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10 ngày kể từ ngày nhận được hồ sơ hợp lệ.            - Trường hợp cần thiết, Bộ Khoa học và Công nghệ tổ chức hội đồng để thẩm tra hồ sơ trước khi có văn bản trả lời: Thời gian thẩm tra và trả lời không quá 20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Trụ sở của Bộ Khoa học và Công nghệ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10 ngày kể từ ngày nhận được hồ sơ hợp lệ.            - Trường hợp cần thiết, Bộ Khoa học và Công nghệ tổ chức hội đồng để thẩm tra hồ sơ trước khi có văn bản trả lời: Thời gian thẩm tra và trả lời không quá 20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Cổng dịch vụ công trực tuyến của Bộ Khoa học và Công nghệ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10 ngày kể từ ngày nhận được hồ sơ hợp lệ.            - Trường hợp cần thiết, Bộ Khoa học và Công nghệ tổ chức hội đồng để thẩm tra hồ sơ trước khi có văn bản trả lời: Thời gian thẩm tra và trả lời không quá 20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xác nhận</w:t>
            </w:r>
          </w:p>
        </w:tc>
        <w:tc>
          <w:p/>
          <w:p>
            <w:pPr>
              <w:spacing w:after="0" w:before="0" w:lineRule="auto" w:line="276"/>
              <w:jc w:val="left"/>
            </w:pPr>
            <w:r>
              <w:rPr>
                <w:rFonts w:ascii="Times New Roman" w:hAnsi="Times New Roman" w:cs="Times New Roman" w:eastAsia="Times New Roman"/>
                <w:b w:val="false"/>
                <w:sz w:val="26"/>
              </w:rPr>
              <w:t>Mẫu số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về phương tiện vận tải chuyên dùng đáp ứng tiêu chí theo quy định của Bộ Khoa học và Công nghệ về phương tiện vận tải chuyên dùng trong dây chuyền công nghệ sử dụng trực tiếp cho hoạt động sản xuất của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kỹ thuật của phương tiện vận tải chuyên dùng, thể hiện rõ tên phương tiện, năm sản xuất, tính năng kỹ thuật, tình trạng phương tiện, công suất, chức năng và ảnh chụp phương tiện vận tải chuyên dùng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mua bán hoặc hợp đồng ủy thác (bản sao có chứng thực hoặc bản sao xuất trình kèm bản chính để đối chiếu) hoặc các tài liệu khác liên quan để xác định quan hệ mua bán,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máy móc, thiết bị của dự án đầu tư đã được chủ đầu tư phê duyệt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đầu tư,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phương tiện vận tải chuyên dùng trong dây chuyền công nghệ sử dụng trực tiếp cho hoạt động sản xuất của dự án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107/2016/QH13</w:t>
            </w:r>
          </w:p>
        </w:tc>
        <w:tc>
          <w:p/>
          <w:p>
            <w:pPr>
              <w:spacing w:after="0" w:before="0" w:lineRule="auto" w:line="276"/>
              <w:jc w:val="left"/>
            </w:pPr>
            <w:r>
              <w:rPr>
                <w:rFonts w:ascii="Times New Roman" w:hAnsi="Times New Roman" w:cs="Times New Roman" w:eastAsia="Times New Roman"/>
                <w:b w:val="false"/>
                <w:sz w:val="26"/>
              </w:rPr>
              <w:t>Luật 107/2016/QH13</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134/2016/NĐ-CP</w:t>
            </w:r>
          </w:p>
        </w:tc>
        <w:tc>
          <w:p/>
          <w:p>
            <w:pPr>
              <w:spacing w:after="0" w:before="0" w:lineRule="auto" w:line="276"/>
              <w:jc w:val="left"/>
            </w:pPr>
            <w:r>
              <w:rPr>
                <w:rFonts w:ascii="Times New Roman" w:hAnsi="Times New Roman" w:cs="Times New Roman" w:eastAsia="Times New Roman"/>
                <w:b w:val="false"/>
                <w:sz w:val="26"/>
              </w:rPr>
              <w:t>Nghị định 134/2016/NĐ-CP</w:t>
            </w:r>
          </w:p>
        </w:tc>
        <w:tc>
          <w:p/>
          <w:p>
            <w:pPr>
              <w:spacing w:after="0" w:before="0" w:lineRule="auto" w:line="276"/>
              <w:jc w:val="left"/>
            </w:pPr>
            <w:r>
              <w:rPr>
                <w:rFonts w:ascii="Times New Roman" w:hAnsi="Times New Roman" w:cs="Times New Roman" w:eastAsia="Times New Roman"/>
                <w:b w:val="false"/>
                <w:sz w:val="26"/>
              </w:rPr>
              <w:t>01-09-2016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14/2017/TT-BKHCN</w:t>
            </w:r>
          </w:p>
        </w:tc>
        <w:tc>
          <w:p/>
          <w:p>
            <w:pPr>
              <w:spacing w:after="0" w:before="0" w:lineRule="auto" w:line="276"/>
              <w:jc w:val="left"/>
            </w:pPr>
            <w:r>
              <w:rPr>
                <w:rFonts w:ascii="Times New Roman" w:hAnsi="Times New Roman" w:cs="Times New Roman" w:eastAsia="Times New Roman"/>
                <w:b w:val="false"/>
                <w:sz w:val="26"/>
              </w:rPr>
              <w:t>Thông tư 14/2017/TT-BKHCN</w:t>
            </w:r>
          </w:p>
        </w:tc>
        <w:tc>
          <w:p/>
          <w:p>
            <w:pPr>
              <w:spacing w:after="0" w:before="0" w:lineRule="auto" w:line="276"/>
              <w:jc w:val="left"/>
            </w:pPr>
            <w:r>
              <w:rPr>
                <w:rFonts w:ascii="Times New Roman" w:hAnsi="Times New Roman" w:cs="Times New Roman" w:eastAsia="Times New Roman"/>
                <w:b w:val="false"/>
                <w:sz w:val="26"/>
              </w:rPr>
              <w:t>01-12-2017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30/2018/QĐ-TTg</w:t>
            </w:r>
          </w:p>
        </w:tc>
        <w:tc>
          <w:p/>
          <w:p>
            <w:pPr>
              <w:spacing w:after="0" w:before="0" w:lineRule="auto" w:line="276"/>
              <w:jc w:val="left"/>
            </w:pPr>
            <w:r>
              <w:rPr>
                <w:rFonts w:ascii="Times New Roman" w:hAnsi="Times New Roman" w:cs="Times New Roman" w:eastAsia="Times New Roman"/>
                <w:b w:val="false"/>
                <w:sz w:val="26"/>
              </w:rPr>
              <w:t>Quyết định 30/2018/QĐ-TTg</w:t>
            </w:r>
          </w:p>
        </w:tc>
        <w:tc>
          <w:p/>
          <w:p>
            <w:pPr>
              <w:spacing w:after="0" w:before="0" w:lineRule="auto" w:line="276"/>
              <w:jc w:val="left"/>
            </w:pPr>
            <w:r>
              <w:rPr>
                <w:rFonts w:ascii="Times New Roman" w:hAnsi="Times New Roman" w:cs="Times New Roman" w:eastAsia="Times New Roman"/>
                <w:b w:val="false"/>
                <w:sz w:val="26"/>
              </w:rPr>
              <w:t>31-07-2018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2026-05-09T03:17:03Z</dcterms:created>
  <dc:creator>Apache POI</dc:creator>
</cp:coreProperties>
</file>