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w:t>
      </w:r>
    </w:p>
    <w:p>
      <w:pPr>
        <w:spacing w:after="0" w:before="0" w:lineRule="auto" w:line="276"/>
        <w:jc w:val="both"/>
      </w:pPr>
      <w:r>
        <w:rPr>
          <w:rFonts w:ascii="Times New Roman" w:hAnsi="Times New Roman" w:cs="Times New Roman" w:eastAsia="Times New Roman"/>
          <w:b w:val="false"/>
          <w:sz w:val="26"/>
        </w:rPr>
        <w:t>- Tổ chức, cá nhân, Đơn vị kinh doanh vận tải nộp hồ sơ để nghị cấp lại Giấy phép liên vận giữa Việt Nam và Lào cho Sở Giao thông vận tải;</w:t>
      </w:r>
    </w:p>
    <w:p>
      <w:pPr>
        <w:spacing w:after="0" w:before="0" w:lineRule="auto" w:line="276"/>
        <w:jc w:val="both"/>
      </w:pPr>
      <w:r>
        <w:rPr>
          <w:rFonts w:ascii="Times New Roman" w:hAnsi="Times New Roman" w:cs="Times New Roman" w:eastAsia="Times New Roman"/>
          <w:b w:val="false"/>
          <w:sz w:val="26"/>
        </w:rPr>
        <w:t>- Sở Giao thông vận tải địa phương nơi có cửa khẩu biên giới giáp với Lào cấp giấy phép cho phương tiện phi thương mại của các tổ chức, cá nhân đóng trên địa bàn các tỉnh khác của Việt Nam đi qua cửa khẩu tại địa phương mình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Đối với hồ sơ nộp trực tiếp hoặc qua đường bưu chính, cán bộ tiếp nhận hồ sơ cập nhật thông tin vào hệ thống dịch vụ công trực tuyến của cơ quan có thẩm quyền cấp giấy phép. Trường hợp hồ sơ cần sửa đổi, bổ sung, cơ quan có thẩm quyền cấp giấy phép thông báo trực tiếp hoặc bằng văn bản hoặc thông báo qua hệ thống dịch vụ công trực tuyến cho tổ chức, cá nhân, đơn vị kinh doanh vận tải nộp hồ sơ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đủ hồ sơ hợp lệ theo quy định, cơ quan có thẩm quyền cấp giấy phép thực hiện cấp Giấy phép liên vận giữa Việt Nam và Lào. Trường hợp không cấp, cơ quan có thẩm quyền cấp giấy phép thông báo bằng văn bản hoặc qua hệ thống dịch vụ công trực tuyến và nêu rõ lý do;</w:t>
      </w:r>
    </w:p>
    <w:p>
      <w:pPr>
        <w:spacing w:after="0" w:before="0" w:lineRule="auto" w:line="276"/>
        <w:jc w:val="both"/>
      </w:pPr>
      <w:r>
        <w:rPr>
          <w:rFonts w:ascii="Times New Roman" w:hAnsi="Times New Roman" w:cs="Times New Roman" w:eastAsia="Times New Roman"/>
          <w:b w:val="false"/>
          <w:sz w:val="26"/>
        </w:rPr>
        <w:t>- Việc trả kết quả được thực hiện tại Sở Giao thông vận tải hoặc qua đường bưu chính hoặc hình thức trực tuyến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đề nghị cấp lại giấy phép đối với phương tiện phi thương mại và phương tiện phục vụ các công trình, dự án hoặc hoạt động kinh doanh của doanh nghiệp trên lãnh thổ Lào: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cử đi công tác của cơ quan có thẩm quyền (đối với trường hợp xe công vụ và xe của các cơ quan ngoại giao, tổ chức quốc tế đi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hoặc tài liệu chứng minh đơn vị đang thực hiện công trình, dự án hoặc hoạt động kinh doanh trên lãnh thổ Lào (đối với doanh nghiệp, hợp tác xã phục vụ các công trình, dự án hoặc hoạt động kinh doanh trên lãnh thổ Lào).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tổ chức, phải xuất trình thêm bản sao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đề nghị cấp lại giấy phép đối với phương tiện thương mại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đơn vị kinh doanh vận tải phải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thông báo khai thác tuyến, văn bản thay thế phương tiện hoặc văn bản bổ sung phương tiện của cơ quan quản lý tuyến và hợp đồng đón trả khách tại bến xe khách ở Việt Nam và bến xe khách hoặc nơi đón trả khách ở Lào (đối với phương tiện kinh doanh tuyến vận tải hành khách cố định giữa Việt Nam và Lào).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2026-04-29T10:03:58Z</dcterms:created>
  <dc:creator>Apache POI</dc:creator>
</cp:coreProperties>
</file>