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1.014069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2257/QĐ-BYT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cơ sở kinh doanh có tổ chức kệ thuốc.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Trước khi hoạt động, cơ sở kinh doanh có tổ chức kệ thuốc nộp 01 bộ hồ sơ công bố cơ sở kinh doanh có tổ chức kệ thuốc đến cơ quan chuyên môn về y tế thuộc Ủy ban nhân dân cấp tỉnh nơi cơ sở đó đặt kệ thuốc.
Việc nộp hồ sơ thực hiện theo quy định tại Điều 15 Nghị định số 118/2025/NĐ-CP ngày 09 tháng 6 năm 2025 của Chính phủ về thực hiện thủ tục hành chính theo cơ chế một cửa, một cửa liên thông tại Bộ phận Một cửa và Cổng Dịch vụ công quốc gia.
Trường hợp thực hiện nộp hồ sơ trên Cổng dịch vụ công trực tuyến, cơ sở nộp hồ sơ theo quy định tại Nghị định số 45/2020/NĐ-CP ngày 08 tháng 4 năm 2020 của Chính phủ về thực hiện thủ tục hành chính trên môi trường điện tử đã được sửa đổi, bổ sung tại Nghị định số 59/2022/NĐ-CP ngày 05 tháng 9 năm 2022 của Chính phủ quy định về định danh và xác thực điện tử, Nghị định số 68/2024/NĐ-CP ngày 25 tháng 6 năm 2024 của Chính phủ quy định về chữ ký số chuyên dùng công vụ, Nghị định số 69/2024/NĐ-CP ngày 25 tháng 6 năm 2024 của Chính phủ quy định về định danh và xác thực điện tử;
Bước 2: Khi nhận hồ sơ, cơ quan chuyên môn về y tế thuộc Ủy ban nhân dân cấp tỉnh cấp cho cơ sở kinh doanh có tổ chức kệ thuốc Phiếu tiếp nhận hồ sơ công bố theo Mẫu số 01 quy định tại Phụ lục I kèm theo Thông tư số 31/2025/TT-BYT ngày 01 tháng 7 năm 2025 của Bộ trưởng Bộ Y tế quy định chi tiết một số Điều của Luật Dược và Nghị định số 163/2025/NĐ-CP ngày 29 tháng 6 năm 2025 của Chính phủ quy định chi tiết một số điều và biện pháp để tổ chức, hướng dẫn thi hành Luật Dược;
Bước 3: Trong thời hạn 05 (năm) ngày làm việc, kể từ ngày ghi trên Phiếu tiếp nhận hồ sơ, cơ quan chuyên môn về y tế của Ủy ban nhân dân cấp tỉnh có trách nhiệm ban hành Quyết định công bố cơ sở kinh doanh đủ điều kiện tổ chức kệ thuốc, đăng tải trên Trang Thông tin điện tử của cơ quan chuyên môn về y tế thuộc Ủy ban nhân dân cấp tỉnh danh sách cơ sở kinh doanh có tổ chức kệ thuốc đủ điều kiện. Trường hợp không công bố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Bản công bố cơ sở kinh doanh có tổ chức kệ thuốc theo Mẫu số 05 quy định tại Phụ lục I ban hành kèm theo Thông tư số 31/2025/TT-BYT ngày 01 tháng 7 năm 2025 của Bộ trưởng Bộ Y tế quy định chi tiết một số điều của Luật Dược và Nghị định số 163/2025/NĐ-CP ngày 29 tháng 6 năm 2025 của Chính phủ quy định chi tiết một số điều và biện pháp để tổ chức, hướng dẫn thi hành Luật Dược;</w:t>
            </w:r>
          </w:p>
        </w:tc>
        <w:tc>
          <w:p/>
          <w:p>
            <w:pPr>
              <w:spacing w:after="0" w:before="0" w:lineRule="auto" w:line="276"/>
              <w:jc w:val="left"/>
            </w:pPr>
            <w:r>
              <w:rPr>
                <w:rFonts w:ascii="Times New Roman" w:hAnsi="Times New Roman" w:cs="Times New Roman" w:eastAsia="Times New Roman"/>
                <w:b w:val="false"/>
                <w:sz w:val="26"/>
              </w:rPr>
              <w:t>Mu.docx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sao có ký, đóng dấu xác nhận của cơ sở đối với tài liệu pháp lý chứng minh việc thành lập cơ sở đối với cơ sở không có Giấy chứng nhận đầu tư hoặc Giấy chứng nhận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Bản sao có chứng thực văn bằng, chứng chỉ sơ cấp dược trở lên của người chịu trách nhiệm chuyên môn, trừ trường hợp cơ sở dữ liệu chung về văn bằng, chứng chỉ được chia sẻ;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Danh mục thuốc dự kiến bán tại kệ thuốc. Các thuốc trong Danh mục này phải nằm trong Danh mục thuốc được bán tại kệ thuốc theo quy định tại Phụ lục II ban hành kèm theo Thông tư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 Bản chụp tủ, quầy, kệ bảo quản thuốc;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bố cơ sở kinh doanh có tổ chức kệ thuốc/ Văn bản trả lời kết quả giải quyết hồ sơ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1. Luật dược số 105/2016/QH13 ngày 06 tháng 4 năm 2016.</w:t>
            </w:r>
          </w:p>
        </w:tc>
        <w:tc>
          <w:p/>
          <w:p>
            <w:pPr>
              <w:spacing w:after="0" w:before="0" w:lineRule="auto" w:line="276"/>
              <w:jc w:val="left"/>
            </w:pPr>
            <w:r>
              <w:rPr>
                <w:rFonts w:ascii="Times New Roman" w:hAnsi="Times New Roman" w:cs="Times New Roman" w:eastAsia="Times New Roman"/>
                <w:b w:val="false"/>
                <w:sz w:val="26"/>
              </w:rPr>
              <w:t>06-04-2016</w:t>
            </w:r>
          </w:p>
        </w:tc>
        <w:tc>
          <w:p/>
        </w:tc>
      </w:tr>
      <w:tr>
        <w:tc>
          <w:p/>
          <w:p>
            <w:pPr>
              <w:spacing w:after="0" w:before="0" w:lineRule="auto" w:line="276"/>
              <w:jc w:val="left"/>
            </w:pPr>
            <w:r>
              <w:rPr>
                <w:rFonts w:ascii="Times New Roman" w:hAnsi="Times New Roman" w:cs="Times New Roman" w:eastAsia="Times New Roman"/>
                <w:b w:val="false"/>
                <w:sz w:val="26"/>
              </w:rPr>
              <w:t>44/2024/QH15</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dược ngày 21 tháng 11 năm 2024</w:t>
            </w:r>
          </w:p>
        </w:tc>
        <w:tc>
          <w:p/>
          <w:p>
            <w:pPr>
              <w:spacing w:after="0" w:before="0" w:lineRule="auto" w:line="276"/>
              <w:jc w:val="left"/>
            </w:pPr>
            <w:r>
              <w:rPr>
                <w:rFonts w:ascii="Times New Roman" w:hAnsi="Times New Roman" w:cs="Times New Roman" w:eastAsia="Times New Roman"/>
                <w:b w:val="false"/>
                <w:sz w:val="26"/>
              </w:rPr>
              <w:t>21-11-2024</w:t>
            </w:r>
          </w:p>
        </w:tc>
        <w:tc>
          <w:p/>
        </w:tc>
      </w:tr>
      <w:tr>
        <w:tc>
          <w:p/>
          <w:p>
            <w:pPr>
              <w:spacing w:after="0" w:before="0" w:lineRule="auto" w:line="276"/>
              <w:jc w:val="left"/>
            </w:pPr>
            <w:r>
              <w:rPr>
                <w:rFonts w:ascii="Times New Roman" w:hAnsi="Times New Roman" w:cs="Times New Roman" w:eastAsia="Times New Roman"/>
                <w:b w:val="false"/>
                <w:sz w:val="26"/>
              </w:rPr>
              <w:t>163/2025/NĐ-CP</w:t>
            </w:r>
          </w:p>
        </w:tc>
        <w:tc>
          <w:p/>
          <w:p>
            <w:pPr>
              <w:spacing w:after="0" w:before="0" w:lineRule="auto" w:line="276"/>
              <w:jc w:val="left"/>
            </w:pPr>
            <w:r>
              <w:rPr>
                <w:rFonts w:ascii="Times New Roman" w:hAnsi="Times New Roman" w:cs="Times New Roman" w:eastAsia="Times New Roman"/>
                <w:b w:val="false"/>
                <w:sz w:val="26"/>
              </w:rPr>
              <w:t>Nghị định của Chính phủ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29-06-2025</w:t>
            </w:r>
          </w:p>
        </w:tc>
        <w:tc>
          <w:p/>
        </w:tc>
      </w:tr>
      <w:tr>
        <w:tc>
          <w:p/>
          <w:p>
            <w:pPr>
              <w:spacing w:after="0" w:before="0" w:lineRule="auto" w:line="276"/>
              <w:jc w:val="left"/>
            </w:pPr>
            <w:r>
              <w:rPr>
                <w:rFonts w:ascii="Times New Roman" w:hAnsi="Times New Roman" w:cs="Times New Roman" w:eastAsia="Times New Roman"/>
                <w:b w:val="false"/>
                <w:sz w:val="26"/>
              </w:rPr>
              <w:t>31/2025/TT-BYT</w:t>
            </w:r>
          </w:p>
        </w:tc>
        <w:tc>
          <w:p/>
          <w:p>
            <w:pPr>
              <w:spacing w:after="0" w:before="0" w:lineRule="auto" w:line="276"/>
              <w:jc w:val="left"/>
            </w:pPr>
            <w:r>
              <w:rPr>
                <w:rFonts w:ascii="Times New Roman" w:hAnsi="Times New Roman" w:cs="Times New Roman" w:eastAsia="Times New Roman"/>
                <w:b w:val="false"/>
                <w:sz w:val="26"/>
              </w:rPr>
              <w:t>Thông tư số 31/2025/TT-BYT ngày 01 tháng 7 năm 2025 của Bộ trưởng Bộ Y tế quy định chi tiết một số điều của Luật Dược và Nghị định số 163/2025/NĐ-CP ngày 29 tháng 6 năm 2025 của Chính phủ quy định chi tiết một số điều và biện pháp để tổ chức, hướng dẫn thi hành Luật Dược.</w:t>
            </w:r>
          </w:p>
        </w:tc>
        <w:tc>
          <w:p/>
          <w:p>
            <w:pPr>
              <w:spacing w:after="0" w:before="0" w:lineRule="auto" w:line="276"/>
              <w:jc w:val="left"/>
            </w:pPr>
            <w:r>
              <w:rPr>
                <w:rFonts w:ascii="Times New Roman" w:hAnsi="Times New Roman" w:cs="Times New Roman" w:eastAsia="Times New Roman"/>
                <w:b w:val="false"/>
                <w:sz w:val="26"/>
              </w:rPr>
              <w:t>01-07-2025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Cơ sở có đăng ký kinh doanh;
2. Cơ sở có điều kiện bảo quản thuốc phù hợp với điều kiện bảo quản ghi trên nhãn thuốc, có người chịu trách nhiệm chuyên môn có văn bằng chuyên môn sơ cấp dược trở lên và chỉ được bán thuốc thuộc Danh mục thuốc được bán tại kệ thuốc tại Phụ lục II ban hành kèm theo Thông tư số 31/2025/TT-BYT ngày 01 tháng 7 năm 2025 của Bộ trưởng Bộ Y tế quy định chi tiết một số Điều của Luật Dược và Nghị định số 163/2025/NĐ-CP ngày 29 tháng 6 năm 2025 của Chính phủ quy định chi tiết một số điều và biện pháp để tổ chức, hướng dẫn thi hành Luật Dược.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2026-05-16T02:04:57Z</dcterms:created>
  <dc:creator>Apache POI</dc:creator>
</cp:coreProperties>
</file>