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phải kiểm soát đặc biệt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xuất khẩu nộp hồ sơ trực tiếp hoặc qua dịch vụ bưu chính hoặc trực tuyến về Ủy ban nhân dân cấp tỉnh nơi cửa khẩu làm thủ tục xuất cảnh hoặc nơi người bệnh đang sinh sống, tạm trú hợp pháp hoặc nơi tổ chức đặt trụ sở;
Bước 2: Sau khi nhận được hồ sơ, Ủy ban nhân dân cấp tỉnh trả cho tổ chức, cá nhân đề nghị Phiếu tiếp nhận hồ sơ theo Mẫu số 01 tại Phụ lục I của Nghị định số 163/2025/NĐ-CP;
Bước 3: Trường hợp không có yêu cầu sửa đổi, bổ sung hồ sơ, Ủy ban nhân dân cấp tỉnh cấp phép xuất khẩu trong thời hạn 07 ngày làm việc kể từ ngày ghi trên Phiếu tiếp nhận hồ sơ. Trường hợp có yêu cầu sửa đổi, bổ sung hồ sơ, Ủy ban nhân dân cấp tỉnh có văn bản trả lời theo Mẫu số 16 tại Phụ lục I của Nghị định số 163/2025/NĐ-CP để yêu cầu sửa đổi, bổ sung hồ sơ trong thời hạn 05 ngày làm việc kể từ ngày ghi trên Phiếu tiếp nhận hồ sơ;
Bước 4: Sau khi nhận hồ sơ sửa đổi, bổ sung, Ủy ban nhân dân cấp tỉnh trả tổ chức, cá nhân Phiếu tiếp nhận hồ sơ sửa đổi, bổ sung theo Mẫu số 01 tại Phụ lục I của Nghị định số 163/2025/NĐ-CP. Trường hợp hồ sơ sửa đổi, bổ sung không đáp ứng yêu cầu, Ủy ban nhân dân cấp tỉnh có văn bản trả lời và nêu rõ lý do không cấp phép xuất khẩu theo Mẫu số 16 tại Phụ lục I của Nghị định số 163/2025/NĐ-CP trong thời hạn 05 ngày làm việc kể từ ngày ghi trên Phiếu tiếp nhận hồ sơ. Trường hợp không có yêu cầu sửa đổi, bổ sung đối với hồ sơ sửa đổi, bổ sung, Ủy ban nhân dân cấp tỉnh cấp phép xuất khẩu theo quy định tại bước 3. Trong thời hạn 03 tháng kể từ ngày Ủy ban nhân dân cấp tỉnh có văn bản thông báo sửa đổi, bổ sung, tổ chức, cá nhân đề nghị cấp phép xuất khẩu phải nộp hồ sơ sửa đổi, bổ sung theo yêu cầu. Sau thời hạn trên, tổ chức, cá nhân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xuất khẩu thuốc</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thuốc, sổ y bạ theo dõi điều trị ngoại trú có chứng thực hoặc có chữ ký của người đề nghị hoặc có đóng dấu của tổ chức đề nghị.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 nơi thầy thuốc hành nghề. Trường hợp bản sao có chữ ký của người đề nghị hoặc đóng dấu của tổ chức đề nghị thì phải kèm xuất trình bản chính để đối chiếu khi nộp hồ sơ. Các giấy tờ này nếu không được thể hiện bằng tiếng Việt hoặc tiếng Anh thì phải nộp thêm bản dịch của tài liệu đó ra tiếng Việt hoặc tiếng Anh và bản dịch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khẩu/Văn bản yêu cầu sửa đổi, bổ sung hồ sơ/Văn bản trả lời không cấp phép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3235/QĐ-BYT</w:t>
            </w:r>
          </w:p>
        </w:tc>
        <w:tc>
          <w:p/>
          <w:p>
            <w:pPr>
              <w:spacing w:after="0" w:before="0" w:lineRule="auto" w:line="276"/>
              <w:jc w:val="left"/>
            </w:pPr>
            <w:r>
              <w:rPr>
                <w:rFonts w:ascii="Times New Roman" w:hAnsi="Times New Roman" w:cs="Times New Roman" w:eastAsia="Times New Roman"/>
                <w:b w:val="false"/>
                <w:sz w:val="26"/>
              </w:rPr>
              <w:t>Quyết định của Bộ trưởng Bộ Y tế công bố danh mục thuốc, dược chất thuộc danh mục chất bị cấm sử dụng trong một số ngành, lĩnh vực</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Thuốc phải kiểm soát đặc biệt được xuất khẩu không vì mục đích thương mại phải là thuốc được cấp phép lưu hành tại Việt Nam và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 
2. Thuốc có số lượng thuốc vượt quá: a) 07 ngày sử dụng đối với thuốc gây nghiện theo liều dùng ghi trong đơn thuốc kèm theo; b) 10 ngày sử dụng đối với thuốc hướng thần, thuốc tiền chất theo liều dùng ghi trong đơn thuốc kèm theo; c) 30 ngày sử dụng đối với thuốc dạng phối hợp có chứa dược chất gây nghiện, thuốc dạng phối hợp có chứa dược chất hướng thần, thuốc dạng phối hợp có chứa tiền chất, thuốc độc, thuốc trong danh mục thuốc, dược chất thuộc danh mục chất bị cấm sử dụng trong một số ngành, lĩnh vực theo liều dùng ghi trong đơn thuốc kèm theo. 
3. Đơn vị đề nghị là cá nhân người xuất cảnh hoặc tổ chức xuất cảnh.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2026-05-24T16:07:38Z</dcterms:created>
  <dc:creator>Apache POI</dc:creator>
</cp:coreProperties>
</file>