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đầy đủ, Sở Y tế trả cho người đề nghị cấp Chứng chỉ hành nghề dược Phiếu tiếp nhận hồ sơ theo Mẫu số 01 Phụ lục I của Nghị định số 163/2025/NĐ-CP.</w:t>
      </w:r>
    </w:p>
    <w:p>
      <w:pPr>
        <w:spacing w:after="0" w:before="0" w:lineRule="auto" w:line="276"/>
        <w:jc w:val="both"/>
      </w:pPr>
      <w:r>
        <w:rPr>
          <w:rFonts w:ascii="Times New Roman" w:hAnsi="Times New Roman" w:cs="Times New Roman" w:eastAsia="Times New Roman"/>
          <w:b w:val="false"/>
          <w:sz w:val="26"/>
        </w:rPr>
        <w:t>Bước 3: 
a) Trường hợp không có yêu cầu
sửa đổi, bổ sung hồ sơ, Sở Y tế điều chỉnh nội dung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điều chỉnh nội dung Chứng chỉ hành nghề dược.
b) Trường hợp không có yêu cầu
sửa đổi, bổ sung đối với hồ sơ sửa đổi, bổ sung, Sở Y tế điều chỉnh nội dung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2026-04-30T10:58:10Z</dcterms:created>
  <dc:creator>Apache POI</dc:creator>
</cp:coreProperties>
</file>