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xét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tượng nộp các giấy tờ theo quy định cho UBND cấp xã nơi đăng ký hộ khẩu thường trú.</w:t>
      </w:r>
    </w:p>
    <w:p>
      <w:pPr>
        <w:spacing w:after="0" w:before="0" w:lineRule="auto" w:line="276"/>
        <w:jc w:val="both"/>
      </w:pPr>
      <w:r>
        <w:rPr>
          <w:rFonts w:ascii="Times New Roman" w:hAnsi="Times New Roman" w:cs="Times New Roman" w:eastAsia="Times New Roman"/>
          <w:b w:val="false"/>
          <w:sz w:val="26"/>
        </w:rPr>
        <w:t>-	UBND cấp xã tổ chức họp xét duyệt, lập hồ sơ, báo cáo UBND cấp huyện.</w:t>
      </w:r>
    </w:p>
    <w:p>
      <w:pPr>
        <w:spacing w:after="0" w:before="0" w:lineRule="auto" w:line="276"/>
        <w:jc w:val="both"/>
      </w:pPr>
      <w:r>
        <w:rPr>
          <w:rFonts w:ascii="Times New Roman" w:hAnsi="Times New Roman" w:cs="Times New Roman" w:eastAsia="Times New Roman"/>
          <w:b w:val="false"/>
          <w:sz w:val="26"/>
        </w:rPr>
        <w:t>-	UBND cấp huyện tổ chức thẩm định, báo cáo UBND cấp tỉnh.</w:t>
      </w:r>
    </w:p>
    <w:p>
      <w:pPr>
        <w:spacing w:after="0" w:before="0" w:lineRule="auto" w:line="276"/>
        <w:jc w:val="both"/>
      </w:pPr>
      <w:r>
        <w:rPr>
          <w:rFonts w:ascii="Times New Roman" w:hAnsi="Times New Roman" w:cs="Times New Roman" w:eastAsia="Times New Roman"/>
          <w:b w:val="false"/>
          <w:sz w:val="26"/>
        </w:rPr>
        <w:t>-	UBND cấp tỉnh tổ chức thẩm định, trình Thủ tướng Chính phủ (qua Bộ Nội vụ).</w:t>
      </w:r>
    </w:p>
    <w:p>
      <w:pPr>
        <w:spacing w:after="0" w:before="0" w:lineRule="auto" w:line="276"/>
        <w:jc w:val="both"/>
      </w:pPr>
      <w:r>
        <w:rPr>
          <w:rFonts w:ascii="Times New Roman" w:hAnsi="Times New Roman" w:cs="Times New Roman" w:eastAsia="Times New Roman"/>
          <w:b w:val="false"/>
          <w:sz w:val="26"/>
        </w:rPr>
        <w:t>-	Bộ Nội vụ thẩm định hồ sơ, trình Thủ tướng Chính phủ đề nghị Chủ tịch nước ra Quyết định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Cấp xã: Không quá 10 ngày làm việc; -	Cấp huyện: Không quá 15 ngày làm việc; -	Cấp tỉnh: Không quá 15 ngày làm việc; -	Bộ Nội vụ: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Nộp hồ sơ trực tiếp cho UBND cấp xã nơi đăng ký hộ khẩu thường trú.</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Cấp xã: Không quá 10 ngày làm việc; -	Cấp huyện: Không quá 15 ngày làm việc; -	Cấp tỉnh: Không quá 15 ngày làm việc; -	Bộ Nội vụ: Không quá 10 ngày làm việc.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Nộp hồ sơ trực tiếp cho UBND cấp xã nơi đăng ký hộ khẩu thường trú.</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của đối tượng (01 bản chính)</w:t>
            </w:r>
          </w:p>
        </w:tc>
        <w:tc>
          <w:p/>
          <w:p>
            <w:pPr>
              <w:spacing w:after="0" w:before="0" w:lineRule="auto" w:line="276"/>
              <w:jc w:val="left"/>
            </w:pPr>
            <w:r>
              <w:rPr>
                <w:rFonts w:ascii="Times New Roman" w:hAnsi="Times New Roman" w:cs="Times New Roman" w:eastAsia="Times New Roman"/>
                <w:b w:val="false"/>
                <w:sz w:val="26"/>
              </w:rPr>
              <w:t>BẢN KHAI CÁ NHÂN.doc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Thành phần hồ sơ 2: Giấy tờ làm căn cứ xét duyệt (03 bản sao có chứng thực),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không lưu giữ được giấy tờ làm căn cứ xét duyệt, có đơn gửi Giám đốc Sở Lao động - Thương binh và Xã hội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 nơi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Ban Thi đua - Khen thưởng Trung ương - Bộ Nội vụ, Phòng Lao động Thương binh Xã hội, Ban Thi đua khen thưởng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sỹ;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hình phạt tù mà bản án, quyết định của Tòa án đang có hiệu lực pháp luật (kể cả trường hợp được hưởng án treo).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2026-05-23T19:28:58Z</dcterms:created>
  <dc:creator>Apache POI</dc:creator>
</cp:coreProperties>
</file>