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tên trường cao đẳng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cao đẳng gửi hồ sơ đề nghị đổi tên trường về Bộ Giáo dục và Đào tạo;</w:t>
      </w:r>
    </w:p>
    <w:p>
      <w:pPr>
        <w:spacing w:after="0" w:before="0" w:lineRule="auto" w:line="276"/>
        <w:jc w:val="both"/>
      </w:pPr>
      <w:r>
        <w:rPr>
          <w:rFonts w:ascii="Times New Roman" w:hAnsi="Times New Roman" w:cs="Times New Roman" w:eastAsia="Times New Roman"/>
          <w:b w:val="false"/>
          <w:sz w:val="26"/>
        </w:rPr>
        <w:t>Bước 2: Bộ Giáo dục và Đào tạo thẩm định hồ sơ;</w:t>
      </w:r>
    </w:p>
    <w:p>
      <w:pPr>
        <w:spacing w:after="0" w:before="0" w:lineRule="auto" w:line="276"/>
        <w:jc w:val="both"/>
      </w:pPr>
      <w:r>
        <w:rPr>
          <w:rFonts w:ascii="Times New Roman" w:hAnsi="Times New Roman" w:cs="Times New Roman" w:eastAsia="Times New Roman"/>
          <w:b w:val="false"/>
          <w:sz w:val="26"/>
        </w:rPr>
        <w:t>Bước 3: Bộ Giáo dục và Đào tạo ra Quyết định đổi tên trường hoặc công văn thông báo kết quả thẩm định không đạt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hạn 30 ngày làm việc tính từ ngày nhận đủ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hạn 30 ngày làm việc tính từ ngày nhận đủ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đổi tên trường, trong đó nêu rõ sự cần thiết, những thay đổi về chức năng, nhiệm vụ, tổ chức bộ máy, đầu tư cơ sở vật chất (nếu có), làm rõ sự ảnh hưởng đối với việc đào tạo nguồn nhân lực phục vụ phát triển kinh tế - xã hội, quy hoạch mạng lưới các trường đại học, cao đẳng;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Đánh giá tác động đối với sinh viên, viên chức của nhà trường và các chủ thể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cơ quan trực tiếp quản lý trường và Ủy ban nhân dân cấp tỉnh nơi trường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nghị của Hội đồng trường (đối với trường cao đẳng công lập) hoặc Hội đồng quản trị và của đại hội đồng cổ đông (đối với trường cao đẳng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quyết định đổi tên, cho phép đổi tên trường cao đẳng.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01/2015/TT-BGDĐT</w:t>
            </w:r>
          </w:p>
        </w:tc>
        <w:tc>
          <w:p/>
          <w:p>
            <w:pPr>
              <w:spacing w:after="0" w:before="0" w:lineRule="auto" w:line="276"/>
              <w:jc w:val="left"/>
            </w:pPr>
            <w:r>
              <w:rPr>
                <w:rFonts w:ascii="Times New Roman" w:hAnsi="Times New Roman" w:cs="Times New Roman" w:eastAsia="Times New Roman"/>
                <w:b w:val="false"/>
                <w:sz w:val="26"/>
              </w:rPr>
              <w:t>Ban hành Điều lệ trường cao đẳng</w:t>
            </w:r>
          </w:p>
        </w:tc>
        <w:tc>
          <w:p/>
          <w:p>
            <w:pPr>
              <w:spacing w:after="0" w:before="0" w:lineRule="auto" w:line="276"/>
              <w:jc w:val="left"/>
            </w:pPr>
            <w:r>
              <w:rPr>
                <w:rFonts w:ascii="Times New Roman" w:hAnsi="Times New Roman" w:cs="Times New Roman" w:eastAsia="Times New Roman"/>
                <w:b w:val="false"/>
                <w:sz w:val="26"/>
              </w:rPr>
              <w:t>15-01-2015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Tên trường cao đẳng có thể được thay đổi nếu thấy cần thiết và phù hợp với nguyên tắc đặt tên trường theo quy định tại Điều 3 Điều lệ trường cao đảng ban hành kèm theo Thông tư số 01/2015/TT-BGDĐT:
a) Tên của trường cao đẳng bao gồm các cụm từ sau đây:
- Cụm từ xác định loại trường cao đẳng: Cao đẳng, cao đẳng cộng đồng;
- Cụm từ xác định loại hình trường, lĩnh vực, ngành nghề đào tạo (nếu cần);
- Tên riêng: Tên địa phương, tên danh nhân văn hóa, tên danh nhân lịch sử Việt Nam, tên cá nhân, tổ chức;
- Cụm từ xác định chất lượng, đẳng cấp nếu thấy cần thiết. 
b) Trường cao đẳng có tên bằng tiếng Việt và tên giao dịch quốc tế bằng tiếng nước ngoài được dịch theo quy định thống nhất của Bộ Giáo dục và Đào tạo. Tên của trường không được trùng hoặc gây nhầm lẫn với tên của các trường cao đẳng khác đã được thành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2026-05-11T17:04:05Z</dcterms:created>
  <dc:creator>Apache POI</dc:creator>
</cp:coreProperties>
</file>