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3.000508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quyết định giao chủ đầu tư, quyết định chấp thuận chủ trương đầu tư đồng thời giao chủ đầu tư đối với dự án đầu tư xây dựng nhà ở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Chủ đầu tư có trách nhiệm gửi hồ sơ đến UBND cấp tỉnh.</w:t>
      </w:r>
    </w:p>
    <w:p>
      <w:pPr>
        <w:spacing w:after="0" w:before="0" w:lineRule="auto" w:line="276"/>
        <w:jc w:val="both"/>
      </w:pPr>
      <w:r>
        <w:rPr>
          <w:rFonts w:ascii="Times New Roman" w:hAnsi="Times New Roman" w:cs="Times New Roman" w:eastAsia="Times New Roman"/>
          <w:b w:val="false"/>
          <w:sz w:val="26"/>
        </w:rPr>
        <w:t>b)	UBND cấp tỉnh giao Sở Xây dựng thẩm định hồ sơ đề nghị của chủ đầu tư trong thời gian 30 ngày kể từ ngày nhận được hồ sơ.</w:t>
      </w:r>
    </w:p>
    <w:p>
      <w:pPr>
        <w:spacing w:after="0" w:before="0" w:lineRule="auto" w:line="276"/>
        <w:jc w:val="both"/>
      </w:pPr>
      <w:r>
        <w:rPr>
          <w:rFonts w:ascii="Times New Roman" w:hAnsi="Times New Roman" w:cs="Times New Roman" w:eastAsia="Times New Roman"/>
          <w:b w:val="false"/>
          <w:sz w:val="26"/>
        </w:rPr>
        <w:t>c)	Trong thời gian 07 ngày kể từ ngày có văn bản thẩm định, UBND cấp tỉnh điều chỉnh quyết định giao chủ đầu tư, điều chỉnh quyết định chấp thuận chủ trương đầu tư đồng thời giao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điều chỉnh quyết định giao chủ đầu tư hoặc quyết định chấp thuận chủ trương đầu tư đồng thời giao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Các văn bản, tài liệu thể hiện nội dung đề xuất, thay đổi về: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Điều kiện đối với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Mục tiêu.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 mô diện tích đất sử dụng trên 10% hoặc trên 10 ha, thay đổi địa điểm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Kéo dài tiến độ thực hiện dự án đầu tư mà tổng thời gian đầu tư dự án vượt quá 12 tháng so với tiến độ thực hiện dự án đầu tư quy định tại quyết định giao chủ đầu tư, quyết định chấp thuận chủ trương đầu tư đồng thời giao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Sau khi giao chủ đầu tư, nhà đầu tư liên danh thành lập tổ chức kinh tế để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quyết định giao chủ đầu tư, điều chỉnh quyết định chấp thuận chủ trương đầu tư đồng thời giao chủ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201/2025/QH15</w:t>
            </w:r>
          </w:p>
        </w:tc>
        <w:tc>
          <w:p/>
          <w:p>
            <w:pPr>
              <w:spacing w:after="0" w:before="0" w:lineRule="auto" w:line="276"/>
              <w:jc w:val="left"/>
            </w:pPr>
            <w:r>
              <w:rPr>
                <w:rFonts w:ascii="Times New Roman" w:hAnsi="Times New Roman" w:cs="Times New Roman" w:eastAsia="Times New Roman"/>
                <w:b w:val="false"/>
                <w:sz w:val="26"/>
              </w:rPr>
              <w:t>Thí điểm về một số cơ chế, chính sách đặc thù phát triển nhà ở xã hội</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192/2025/NĐ-CP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Nghị quyết số 201/2025/QH15 ngày 29/5/2025 của Quốc hội thí điểm về một số cơ chế, chính sách đặc thù phát triển nhà ở xã hội</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2026-04-30T13:26:37Z</dcterms:created>
  <dc:creator>Apache POI</dc:creator>
</cp:coreProperties>
</file>