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đơn vị kinh doanh vận tải hồ sơ đề nghị cấp lại Giấy phép liên vận giữa Việt Nam, Lào và Campuchia cho cơ quan có thẩm quyền cấp giấy phép:
- Cục Đường bộ Việt Nam cấp lại giấy phép cho các loại phương tiện:
+ Phương tiện thương mại gồm xe vận chuyển hành khách hợp đồng, xe vận chuyển khách du lịch, xe vận tải hàng hóa;
+ Phương tiện phi thương mại của các tổ chức, cá nhân có nhu cầu đề nghị cấp tại Cục Đường bộ Việt Nam.
- Sở Giao thông vận tải các tỉnh, thành phố trực thuộc trung ương cấp lại Giấy phép liên vận giữa Việt Nam, Lào và Campuchia cho phương tiện vận tải hành khách tuyến cố định, phương tiện phi thương mại của các tổ chức, cá nhân đóng trên địa bàn địa phương.
- Sở Giao thông vận tải địa phương nơi có cửa khẩu biên giới giáp với Lào và Campuchia theo Phụ lục của Bản ghi nhớ giữa Chính phủ các nước Vương quốc Campuchia, Cộng hòa Dân chủ Nhân dân Lào và Cộng hòa xã hội chủ nghĩa Việt Nam về vận tải đường bộ, cấp lại giấy phép cho phương tiện phi thương mại của các tổ chức, cá nhân đóng trên địa bàn các tỉnh khác của Việt Nam đi qua cửa khẩu của địa phương mình.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Cơ quan có thẩm quyền cấp giấy phép tiếp nhận hồ sơ, kiểm tra. Đối với hồ sơ nộp trực tiếp tại cơ quan có thẩm quyền cấp giấy phép hoặc qua đường bưu chính, cán bộ tiếp nhận hồ sơ cập nhật thông tin của các hồ sơ đúng theo quy định vào hệ thống dịch vụ công trực tuyến của cơ quan có thẩm quyền cấp giấy phép. Trường hợp hồ sơ cần sửa đổi, bổ sung, cơ quan có thẩm quyền cấp giấy phép thông báo trực tiếp hoặc bằng văn bản hoặc thông báo qua hệ thống dịch vụ công trực tuyến những nội dung chưa đầy đủ hoặc cần sửa đổi đến tổ chức, cá nhân, đơn vị kinh doanh vận tải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đủ hồ sơ hợp lệ theo quy định, cơ quan có thẩm quyền thực hiện cấp lại Giấy phép liên vận giữa Việt Nam, Lào và Campuchia. Trường hợp không cấp, cơ quan có thẩm quyền cấp giấy phép thông báo bằng văn bản hoặc qua hệ thống dịch vụ công trực tuyến và nêu rõ lý do;</w:t>
      </w:r>
    </w:p>
    <w:p>
      <w:pPr>
        <w:spacing w:after="0" w:before="0" w:lineRule="auto" w:line="276"/>
        <w:jc w:val="both"/>
      </w:pPr>
      <w:r>
        <w:rPr>
          <w:rFonts w:ascii="Times New Roman" w:hAnsi="Times New Roman" w:cs="Times New Roman" w:eastAsia="Times New Roman"/>
          <w:b w:val="false"/>
          <w:sz w:val="26"/>
        </w:rPr>
        <w:t>- Việc trả kết quả được thực hiện tại trụ sở cơ quan có thẩm quyền cấp giấy phép hoặc qua đường bưu chính hoặc hình thức trực tuyến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đối với phương tiện phi thương mại: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theo mẫu.</w:t>
            </w:r>
          </w:p>
        </w:tc>
        <w:tc>
          <w:p/>
          <w:p>
            <w:pPr>
              <w:spacing w:after="0" w:before="0" w:lineRule="auto" w:line="276"/>
              <w:jc w:val="left"/>
            </w:pPr>
            <w:r>
              <w:rPr>
                <w:rFonts w:ascii="Times New Roman" w:hAnsi="Times New Roman" w:cs="Times New Roman" w:eastAsia="Times New Roman"/>
                <w:b w:val="false"/>
                <w:sz w:val="26"/>
              </w:rPr>
              <w:t>Mẫu Giấy đề nghị cấp lại Giấy phép liên vận (phương tiện phi thương mại).docx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xe ô tô (bản sao có chứng thực hoặc bản sao kèm theo bản chính để đối chiếu). Trường hợp phương tiện không thuộc sở hữu của tổ chức, cá nhân thì phải kèm theo tài liệu chứng minh quyền sử dụng hợp pháp của tổ chức, cá nhân với phương tiện đó (bản sao có chứng thực hoặc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thực hiện công trình, dự án hoặc hoạt động kinh doanh trên lãnh thổ Lào hoặc Campuchia thì kèm theo hợp đồng hoặc tài liệu chứng minh doanh nghiệp đang thực hiện công trình, dự án hoặc hoạt động kinh doanh, trên lãnh thổ Lào, Campuchia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đối với phương tiện thương mại: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theo mẫu.</w:t>
            </w:r>
          </w:p>
        </w:tc>
        <w:tc>
          <w:p/>
          <w:p>
            <w:pPr>
              <w:spacing w:after="0" w:before="0" w:lineRule="auto" w:line="276"/>
              <w:jc w:val="left"/>
            </w:pPr>
            <w:r>
              <w:rPr>
                <w:rFonts w:ascii="Times New Roman" w:hAnsi="Times New Roman" w:cs="Times New Roman" w:eastAsia="Times New Roman"/>
                <w:b w:val="false"/>
                <w:sz w:val="26"/>
              </w:rPr>
              <w:t>Mẫu Giấy đề nghị cấp lại Giấy phép liên vận (phương tiện thương mại).docx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đơn vị kinh doanh vận tải phải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thông báo khai thác tuyến, văn bản thay thế phương tiện hoặc văn bản bổ sung phương tiện của cơ quan quản lý tuyến và hợp đồng đón trả khách tại bến xe khách ở Việt Nam và bến xe khách hoặc nơi đón trả khách ở Lào, Campuchia (đối với phương tiện kinh doanh tuyến vận tải hành khách cố định giữa Việt Nam, Lào và Campuchia).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liên vận hư hỏng,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 Giấy đề nghị cấp lại Giấy phép liên vận giữa Việt Nam, Lào và Campuchia cho phương tiện thương mại</w:t>
            </w:r>
          </w:p>
        </w:tc>
        <w:tc>
          <w:p/>
          <w:p>
            <w:pPr>
              <w:spacing w:after="0" w:before="0" w:lineRule="auto" w:line="276"/>
              <w:jc w:val="left"/>
            </w:pPr>
            <w:r>
              <w:rPr>
                <w:rFonts w:ascii="Times New Roman" w:hAnsi="Times New Roman" w:cs="Times New Roman" w:eastAsia="Times New Roman"/>
                <w:b w:val="false"/>
                <w:sz w:val="26"/>
              </w:rPr>
              <w:t>Mẫu Giấy đề nghị cấp lại Giấy phép liên vận (phương tiện thương mại).docx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 Giấy đề nghị cấp lại Giấy phép liên vận giữa Việt Nam, Lào và Campuchia cho phương tiện phi thương mại.</w:t>
            </w:r>
          </w:p>
        </w:tc>
        <w:tc>
          <w:p/>
          <w:p>
            <w:pPr>
              <w:spacing w:after="0" w:before="0" w:lineRule="auto" w:line="276"/>
              <w:jc w:val="left"/>
            </w:pPr>
            <w:r>
              <w:rPr>
                <w:rFonts w:ascii="Times New Roman" w:hAnsi="Times New Roman" w:cs="Times New Roman" w:eastAsia="Times New Roman"/>
                <w:b w:val="false"/>
                <w:sz w:val="26"/>
              </w:rPr>
              <w:t>Mẫu Giấy đề nghị cấp lại Giấy phép liên vận (phương tiện phi thương mại).docx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liên vận hết thời hạn sử dụng hoặc còn thời hạn sử dụng nhưng hết trang đóng dấu xác nhận của các cơ quan quản lý tại cửa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theo quy định đối với phương tiện thương mại hoặc phương tiện phi thương mại nêu ở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2026-05-21T16:35:22Z</dcterms:created>
  <dc:creator>Apache POI</dc:creator>
</cp:coreProperties>
</file>