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Mệnh lệnh vận chuyển 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hoạt động 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 Doanh nghiệp trực thuộc Bộ Quốc phòng và các doanh nghiệp cổ phần có vốn nhà nước do Bộ Quốc phòng làm đại diện chủ sở hữu nộp hồ sơ cho Bộ Tổng Tham mưu. Cơ quan, đơn vị, doanh nghiệp quân đội còn lại nộp hồ sơ cho cơ quan, đơn vị (không phải doanh nghiệp) trực thuộc Bộ Quốc phòng;
- Tổng Tham mưu trưởng  điều chỉnh hoặc uỷ quyền cho người chỉ huy cơ quan, đơn vị thuộc quyền dưới một cấp điều chỉnh Mệnh lệnh vận chuyển vật liệu nổ công nghiệp, tiền chất thuốc nổ cho các doanh nghiệp trực thuộc Bộ Quốc phòng và các doanh nghiệp cổ phần có vốn nhà nước do Bộ Quốc phòng làm đại diện chủ sở hữu. Người chỉ huy cơ quan, đơn vị (không phải doanh nghiệp) trực thuộc Bộ Quốc phòng thực hiện hoặc ủy quyền cho người chỉ huy cơ quan, đơn vị thuộc quyền dưới một cấp điều chỉnh Mệnh lệnh vận chuyển vật liệu nổ công nghiệp, tiền chất thuốc nổ cho đối tượng thuộc phạm vi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Gửi hồ sơ qua đường bưu điện hoặc nộp trực tiếp tại Tổng cục Công nghiệp quốc phòng:
03 (ba)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Nộp hồ sơ trên Cổng Dịch vụ công Bộ Quốc phòng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Gửi hồ sơ qua đường bưu điện hoặc nộp trực tiếp tại Tổng cục Công nghiệp quốc phòng:
03 (ba)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Mệnh vận chuyển vật liệu nổ công nghiệp, tiền chất thuốc nổ</w:t>
            </w:r>
          </w:p>
        </w:tc>
        <w:tc>
          <w:p/>
          <w:p>
            <w:pPr>
              <w:spacing w:after="0" w:before="0" w:lineRule="auto" w:line="276"/>
              <w:jc w:val="left"/>
            </w:pPr>
            <w:r>
              <w:rPr>
                <w:rFonts w:ascii="Times New Roman" w:hAnsi="Times New Roman" w:cs="Times New Roman" w:eastAsia="Times New Roman"/>
                <w:b w:val="false"/>
                <w:sz w:val="26"/>
              </w:rPr>
              <w:t>Mẫu số 03 - VBĐN mệnh lệnh chuyển VLNCN.doc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Mệnh lệnh vận chuyển vật liệu nổ công nghiệp, tiền chất thuốc nổ cần điều chỉnh nội dung;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tài liệu khác có liên quan (nếu có) BQP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Công nghiệp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Mệnh lệnh vận chuyển 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71/2018/NĐ-CP</w:t>
            </w:r>
          </w:p>
        </w:tc>
        <w:tc>
          <w:p/>
          <w:p>
            <w:pPr>
              <w:spacing w:after="0" w:before="0" w:lineRule="auto" w:line="276"/>
              <w:jc w:val="left"/>
            </w:pPr>
            <w:r>
              <w:rPr>
                <w:rFonts w:ascii="Times New Roman" w:hAnsi="Times New Roman" w:cs="Times New Roman" w:eastAsia="Times New Roman"/>
                <w:b w:val="false"/>
                <w:sz w:val="26"/>
              </w:rPr>
              <w:t>Nghị định 71/2018/NĐ-CP -  Quy định chi tiết một số điều của Luật Quản lý, sử dụng vũ khí, vật liệu nổ và công cụ hỗ trợ về vật liệu nổ công nghiệp và tiền chất thuốc nổ</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14/2017/QH14</w:t>
            </w:r>
          </w:p>
        </w:tc>
        <w:tc>
          <w:p/>
          <w:p>
            <w:pPr>
              <w:spacing w:after="0" w:before="0" w:lineRule="auto" w:line="276"/>
              <w:jc w:val="left"/>
            </w:pPr>
            <w:r>
              <w:rPr>
                <w:rFonts w:ascii="Times New Roman" w:hAnsi="Times New Roman" w:cs="Times New Roman" w:eastAsia="Times New Roman"/>
                <w:b w:val="false"/>
                <w:sz w:val="26"/>
              </w:rPr>
              <w:t>Luật 14/2017/QH14</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85/2018/TT-BQP</w:t>
            </w:r>
          </w:p>
        </w:tc>
        <w:tc>
          <w:p/>
          <w:p>
            <w:pPr>
              <w:spacing w:after="0" w:before="0" w:lineRule="auto" w:line="276"/>
              <w:jc w:val="left"/>
            </w:pPr>
            <w:r>
              <w:rPr>
                <w:rFonts w:ascii="Times New Roman" w:hAnsi="Times New Roman" w:cs="Times New Roman" w:eastAsia="Times New Roman"/>
                <w:b w:val="false"/>
                <w:sz w:val="26"/>
              </w:rPr>
              <w:t>quy định về quản lý hoạt động vật liệu nổ công nghiệp, tiền chất thuốc nổ thuộc thẩm quyền quản lý của Bộ Quốc phòng.</w:t>
            </w:r>
          </w:p>
        </w:tc>
        <w:tc>
          <w:p/>
          <w:p>
            <w:pPr>
              <w:spacing w:after="0" w:before="0" w:lineRule="auto" w:line="276"/>
              <w:jc w:val="left"/>
            </w:pPr>
            <w:r>
              <w:rPr>
                <w:rFonts w:ascii="Times New Roman" w:hAnsi="Times New Roman" w:cs="Times New Roman" w:eastAsia="Times New Roman"/>
                <w:b w:val="false"/>
                <w:sz w:val="26"/>
              </w:rPr>
              <w:t>23-06-2018</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doanh nghiệp phải bảo đảm đủ điều kiện sau:
-	Tổ chức, doanh nghiệp được phép sản xuất, kinh doanh hoặc sử dụng vật liệu nổ công nghiệp, tiền chất thuốc nổ; doanh nghiệp có đăng ký ngành, nghề vận chuyển hàng hóa;
-	Phương tiện vận chuyển vật liệu nổ công nghiệp phải đủ điều kiện theo tiêu chuẩn, quy chuẩn kỹ thuật về an toàn trong hoạt động vật liệu nổ công nghiệp, tiền chất thuốc nổ; bảo đảm điều kiện về an toàn, phòng cháy và chữa cháy;
-	Người quản lý, người điều khiển phương tiện, áp tải và người phục vụ có liên quan đên vận chuyển vật liệu nổ công nghiệp, tiền chất thuốc nổ phải bảo đảm điều kiện về an ninh, trật tự; có trình độ chuyên môn phù hợp với vị trí, chức trách đảm nhiệm, được huấn luyện về an toàn, phòng cháy và chữa cháy.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2026-05-23T16:38:38Z</dcterms:created>
  <dc:creator>Apache POI</dc:creator>
</cp:coreProperties>
</file>