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1.002887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sử dụng vật liệu nổ công nghiệp đối với tổ chức, doanh nghiệp làm dịch vụ nổ mìn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hoạt động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nộp hồ sơ cho Tổng cục Công nghiệp quốc phòng (số 28A Điện Biên Phủ, Ba Đình, Hà Nội) hoặc nộp trực tuyến trên Cổng Dịch vụ công Bộ Quốc phòng.
- Tổng cục Công nghiệp quốc phòng thẩm định, cấp Giấy phép sử dụng vật liệu nổ công nghiệp cho tổ chức, doanh nghiệp hoặc có văn bản trả lời trong trường hợp không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(năm) ngày làm việc, kể từ ngày nhận đủ hồ sơ hoặc 10 ngày làm việc, kể từ ngày nhận đủ hồ sơ đối với trường hợp cơ quan có thẩm quyền cần kiểm tra thực tế hiện trường, kho vật liệu nổ công nghiệp. </w:t>
            </w:r>
          </w:p>
        </w:tc>
        <w:tc>
          <w:p/>
          <w:p>
            <w:pPr>
              <w:spacing w:after="0" w:before="0" w:lineRule="auto" w:line="276"/>
              <w:jc w:val="left"/>
            </w:pPr>
            <w:r>
              <w:rPr>
                <w:rFonts w:ascii="Times New Roman" w:hAnsi="Times New Roman" w:cs="Times New Roman" w:eastAsia="Times New Roman"/>
                <w:b w:val="false"/>
                <w:sz w:val="26"/>
              </w:rPr>
              <w:t xml:space="preserve">Phí : Theo quy định của Bộ Tài chính </w:t>
            </w:r>
          </w:p>
        </w:tc>
        <w:tc>
          <w:p/>
          <w:p>
            <w:pPr>
              <w:spacing w:after="0" w:before="0" w:lineRule="auto" w:line="276"/>
              <w:jc w:val="left"/>
            </w:pPr>
            <w:r>
              <w:rPr>
                <w:rFonts w:ascii="Times New Roman" w:hAnsi="Times New Roman" w:cs="Times New Roman" w:eastAsia="Times New Roman"/>
                <w:b w:val="false"/>
                <w:sz w:val="26"/>
              </w:rPr>
              <w:t>Nộp trực tiếp tại Tổng cục Công nghiệp quốc phòng (số 28 Điện Biên Phủ, Ba Đình,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(năm) ngày làm việc, kể từ ngày nhận đủ hồ sơ hoặc 10 ngày làm việc, kể từ ngày nhận đủ hồ sơ đối với trường hợp cơ quan có thẩm quyền cần kiểm tra thực tế hiện trường, kho vật liệu nổ công nghiệp. </w:t>
            </w:r>
          </w:p>
        </w:tc>
        <w:tc>
          <w:p/>
          <w:p>
            <w:pPr>
              <w:spacing w:after="0" w:before="0" w:lineRule="auto" w:line="276"/>
              <w:jc w:val="left"/>
            </w:pPr>
            <w:r>
              <w:rPr>
                <w:rFonts w:ascii="Times New Roman" w:hAnsi="Times New Roman" w:cs="Times New Roman" w:eastAsia="Times New Roman"/>
                <w:b w:val="false"/>
                <w:sz w:val="26"/>
              </w:rPr>
              <w:t xml:space="preserve">Phí : Theo quy định của Bộ Tài chính </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Bộ Quốc phòng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(năm) ngày làm việc, kể từ ngày nhận đủ hồ sơ hoặc 10 ngày làm việc, kể từ ngày nhận đủ hồ sơ đối với trường hợp cơ quan có thẩm quyền cần kiểm tra thực tế hiện trường, kho vật liệu nổ công nghiệp. </w:t>
            </w:r>
          </w:p>
        </w:tc>
        <w:tc>
          <w:p/>
          <w:p>
            <w:pPr>
              <w:spacing w:after="0" w:before="0" w:lineRule="auto" w:line="276"/>
              <w:jc w:val="left"/>
            </w:pPr>
            <w:r>
              <w:rPr>
                <w:rFonts w:ascii="Times New Roman" w:hAnsi="Times New Roman" w:cs="Times New Roman" w:eastAsia="Times New Roman"/>
                <w:b w:val="false"/>
                <w:sz w:val="26"/>
              </w:rPr>
              <w:t xml:space="preserve">Phí : Theo quy định của Bộ Tài chính </w:t>
            </w:r>
          </w:p>
        </w:tc>
        <w:tc>
          <w:p/>
          <w:p>
            <w:pPr>
              <w:spacing w:after="0" w:before="0" w:lineRule="auto" w:line="276"/>
              <w:jc w:val="left"/>
            </w:pPr>
            <w:r>
              <w:rPr>
                <w:rFonts w:ascii="Times New Roman" w:hAnsi="Times New Roman" w:cs="Times New Roman" w:eastAsia="Times New Roman"/>
                <w:b w:val="false"/>
                <w:sz w:val="26"/>
              </w:rPr>
              <w:t>Nộp hồ sơ qua đường bưu điện đếnTổng cục Công nghiệp quốc phòng (số 28 Điện Biên Phủ, Ba Đình,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phép sử dụng vật liệu nổ công nghiệp (bản chính)	</w:t>
            </w:r>
          </w:p>
        </w:tc>
        <w:tc>
          <w:p/>
          <w:p>
            <w:pPr>
              <w:spacing w:after="0" w:before="0" w:lineRule="auto" w:line="276"/>
              <w:jc w:val="left"/>
            </w:pPr>
            <w:r>
              <w:rPr>
                <w:rFonts w:ascii="Times New Roman" w:hAnsi="Times New Roman" w:cs="Times New Roman" w:eastAsia="Times New Roman"/>
                <w:b w:val="false"/>
                <w:sz w:val="26"/>
              </w:rPr>
              <w:t>GIẤY ĐỀ NGHỊ SDVLNCN - mẫu 05.doc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Thiết kế hoặc phương án nổ mìn được lãnh đạo tổ chức, doanh nghiệp ký duyệt. Trường hợp nổ mìn trong khu vực dân cư, cơ sở khám bệnh, chữa bệnh, khu vực có di tích lịch sử - văn hóa, bảo tồn thiên nhiên, công trình an ninh, quốc phòng hoặc công trình quan trọng khác của quốc gia, khu vực bảo vệ khác theo quy định của pháp luật phải có văn bản đồng ý của Ủy ban nhân dân cấp tỉnh hoặc cơ quan quản lý; đồng thời, thiết kế hoặc phương án nổ mìn phải có phê duyệt của cơ quan cấp Giấy phép sử dụng vật liệu nổ công nghiệp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nghiệm thu hoặc kiểm tra định kỳ về phòng cháy và chữa cháy đối với kho vật liệu nổ công nghiệp và điều kiện bảo đảm an toàn theo tiêu chuẩn, quy chuẩn kỹ thuật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nguyên tắc thuê kho, phương tiện vận chuyển vật liệu nổ công nghiệp với tổ chức, doanh nghiệp có kho, phương tiện vận chuyển vật liệu nổ công nghiệp hoặc bản sao hợp đồng nguyên tắc với tổ chức được phép kinh doanh vật liệu nổ công nghiệp để cung ứng vật liệu nổ công nghiệp đến công trình theo hộ chiếu nổ mìn đối với trường hợp tổ chức, doanh nghiệp đề nghị cấp phép sử dụng vật liệu nổ công nghiệp không có kho hoặc không có phương tiện vận chuyển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bổ nhiệm người chỉ huy nổ mìn của chỉ huy đơn vị hoặc lãnh đạo doanh nghiệp và danh sách thợ mìn, người được giao quản lý kho vật liệu nổ công nghiệp, người phục vụ (bảo vệ, bốc dỡ và vận chuyển tại kho, vị trí trung chuyển vật liệu nổ công nghiệp và tại khu vực nổ mìn); giấy phép lao động của người nước ngoài làm việc có liên quan đến sử dụng vật liệu nổ công nghiệp (nếu có); bản sao chứng chỉ chuyên môn, giấy chứng nhận huấn luyện về kỹ thuật an toàn trong hoạt động vật liệu nổ công nghiệp của người chỉ huy nổ mìn, thợ mìn, thủ kho vật liệu nổ công nghiệp, người phục vụ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dịch vụ nổ mìn do cơ quan có thẩm quyền cấp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dịch vụ nổ mìn giữa tổ chức, doanh nghiệp hoạt động dịch vụ nổ mìn với tổ chức, cá nhân có nhu cầu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chứng minh đã nộp tiền lệ phí thẩm định cấp phép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tài liệu khác có liên quan (nếu có) BQP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Công nghiệp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28A Điện Biên Phủ,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vật liệu nổ công nghiệp hoặc văn bản trả lời đối với trường hợp không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14/2017/QH14</w:t>
            </w:r>
          </w:p>
        </w:tc>
        <w:tc>
          <w:p/>
          <w:p>
            <w:pPr>
              <w:spacing w:after="0" w:before="0" w:lineRule="auto" w:line="276"/>
              <w:jc w:val="left"/>
            </w:pPr>
            <w:r>
              <w:rPr>
                <w:rFonts w:ascii="Times New Roman" w:hAnsi="Times New Roman" w:cs="Times New Roman" w:eastAsia="Times New Roman"/>
                <w:b w:val="false"/>
                <w:sz w:val="26"/>
              </w:rPr>
              <w:t>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71/2018/NĐ-CP</w:t>
            </w:r>
          </w:p>
        </w:tc>
        <w:tc>
          <w:p/>
          <w:p>
            <w:pPr>
              <w:spacing w:after="0" w:before="0" w:lineRule="auto" w:line="276"/>
              <w:jc w:val="left"/>
            </w:pPr>
            <w:r>
              <w:rPr>
                <w:rFonts w:ascii="Times New Roman" w:hAnsi="Times New Roman" w:cs="Times New Roman" w:eastAsia="Times New Roman"/>
                <w:b w:val="false"/>
                <w:sz w:val="26"/>
              </w:rPr>
              <w:t>Nghị định 71/2018/NĐ-CP -  Quy định chi tiết một số điều của Luật Quản lý, sử dụng vũ khí, vật liệu nổ và công cụ hỗ trợ về vật liệu nổ công nghiệp và tiền chất thuốc nổ</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85/2018/TT-BQP</w:t>
            </w:r>
          </w:p>
        </w:tc>
        <w:tc>
          <w:p/>
          <w:p>
            <w:pPr>
              <w:spacing w:after="0" w:before="0" w:lineRule="auto" w:line="276"/>
              <w:jc w:val="left"/>
            </w:pPr>
            <w:r>
              <w:rPr>
                <w:rFonts w:ascii="Times New Roman" w:hAnsi="Times New Roman" w:cs="Times New Roman" w:eastAsia="Times New Roman"/>
                <w:b w:val="false"/>
                <w:sz w:val="26"/>
              </w:rPr>
              <w:t>quy định về quản lý hoạt động vật liệu nổ công nghiệp, tiền chất thuốc nổ thuộc thẩm quyền quản lý của Bộ Quốc phòng.</w:t>
            </w:r>
          </w:p>
        </w:tc>
        <w:tc>
          <w:p/>
          <w:p>
            <w:pPr>
              <w:spacing w:after="0" w:before="0" w:lineRule="auto" w:line="276"/>
              <w:jc w:val="left"/>
            </w:pPr>
            <w:r>
              <w:rPr>
                <w:rFonts w:ascii="Times New Roman" w:hAnsi="Times New Roman" w:cs="Times New Roman" w:eastAsia="Times New Roman"/>
                <w:b w:val="false"/>
                <w:sz w:val="26"/>
              </w:rPr>
              <w:t>23-06-2018</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doanh nghiệp làm dịch vụ nổ mìn đề nghị cấp Giấy phép sử dụng vật liệu nổ công nghiệp phải bảo đảm đủ điều kiện sau:
- Được Bộ Công Thương cấp Giấy phTổ chức, doanh nghiệp làm dịch vụ nổ mìn đề nghị cấp Giấy phép sử dụng vật liệu nổ công nghiệp phải bảo đảm đủ điều kiện sau:
-	Được Bộ Công Thương cấp Giấy phép dịch vụ nổ mìn;
-	Có hợp đồng dịch vụ nổ mìn ký với với tổ chức, cá nhân có nhu cầu theo quy định của Luật Quản lý, sử dụng vũ khí, vật liệu nổ và công cụ hỗ trợ;
-	Có kho, công nghệ, thiết bị, phương tiện, dụng cụ phục vụ hoạt động sử dụng vật liệu nổ công nghiệp bảo đảm tiêu chuẩn, quy chuẩn kỹ thuật; trường hợp không có kho, phương tiện vận chuyển, phải có hợp đồng thuê bằng văn bản với tổ chức được phép bảo quản, vận chuyển vật liệu nổ công nghiệp;
-	Địa điểm sử dụng vật liệu nổ công nghiệp phải bảo đảm điều kiện về an ninh, trật tự, phòng cháy và chữa cháy, vệ sinh môi trường; bảo đảm khoảng cách an toàn đối với công trình, đối tượng cần bảo vệ theo tiêu chuẩn, quy chuẩn kỹ thuật và các quy định có liên quan;
-	Người quản lý, chỉ huy nổ mìn, thợ mìn và người khác có liên quan đến sử dụng vật liệu nổ công nghiệp phải bảo đảm điều kiện về an ninh, trật tự; có trình độ chuyên môn tương xứng với vị trí, chức trách đảm nhiệm, được huấn luyện về kỹ thuật an toàn, phòng cháy và chữa cháy, ứng phó sự cố trong các hoạt động liên quan đến sử dụng vật liệu nổ công nghiệp;
-	Quy mô sử dụng thuốc nổ trong 01 quý từ 500 kg trở lên, trừ trường hợp sử dụng thuốc nổ để thử nghiệm, thăm dò, đánh giá địa chất.
p dịch vụ nổ mìn;
- Có hợp đồng dịch vụ nổ mìn ký với với tổ chức, cá nhân có nhu cầu theo quy định của Luật Quản lý, sử dụng vũ khí, vật liệu nổ và công cụ hỗ trợ;
- Có kho, công nghệ, thiết bị, phương tiện, dụng cụ phục vụ hoạt động sử dụng vật liệu nổ công nghiệp bảo đảm tiêu chuẩn, quy chuẩn kỹ thuật; trường hợp không có kho, phương tiện vận chuyển, phải có hợp đồng thuê bằng văn bản với tổ chức được phép bảo quản, vận chuyển vật liệu nổ công nghiệp;
- Địa điểm sử dụng vật liệu nổ công nghiệp phải bảo đảm điều kiện về an ninh, trật tự, phòng cháy và chữa cháy, vệ sinh môi trường; bảo đảm khoảng cách an toàn đối với công trình, đối tượng cần bảo vệ theo tiêu chuẩn, quy chuẩn kỹ thuật và các quy định có liên quan;
- Người quản lý, chỉ huy nổ mìn, thợ mìn và người khác có liên quan đến sử dụng vật liệu nổ công nghiệp phải bảo đảm điều kiện về an ninh, trật tự; có trình độ chuyên môn tương xứng với vị trí, chức trách đảm nhiệm, được huấn luyện về kỹ thuật an toàn, phòng cháy và chữa cháy, ứng phó sự cố trong các hoạt động liên quan đến sử dụng vật liệu nổ công nghiệp;
- Quy mô sử dụng thuốc nổ trong 01 quý từ 500 kg trở lên, trừ trường hợp sử dụng thuốc nổ để thử nghiệm, thăm dò, đánh giá địa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2026-05-23T16:38:43Z</dcterms:created>
  <dc:creator>Apache POI</dc:creator>
</cp:coreProperties>
</file>