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3253/QĐ-BVHTTDL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biển hiệu phương tiện vận tải khách du lịch bằng đường thủy nội địa (thẩm quyền của Sở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kinh doanh vận tải khách du lịch bằng đường thủy nội địa gửi trực tiếp, trực tuyến hoặc qua bưu điện 01 bộ hồ sơ đến Sở Xây dựng tỉnh/thành phố trực thuộc Trung ương nơi đơn vị kinh doanh đặt trụ sở chính hoặc chi nhánh;
- Trong thời hạn 07 ngày làm việc kể từ ngày nhận được hồ sơ hợp lệ, Sở Xây dựng tổ chức thẩm định, cấp biển hiệu cho phương tiện vận tải khách du lịch bằng đường thủy nội địa. Trường hợp từ chối, phải thông báo bằng văn bản hoặc qua địa chỉ giao dịch điện tử của đơn vị và nêu rõ lý do;
- Trong quá trình thẩm định, Sở Xây dựng kiểm tra thông tin về giấy chứng nhận kiểm định an toàn kỹ thuật và bảo vệ môi trường đối với phương tiện trên hệ thống đăng kiểm Việt Nam; giấy phép kinh doanh vận tải đã cấp cho đơn vị kinh doanh vận tải; cập nhật thông tin trên hệ thống dữ liệu giám sát hành trình và chỉ cấp biển hiệu khi thiết bị giám sát hành trình của phương tiện đáp ứng đầy đủ các quy định về lắp đặt, truyền dẫn dữ liệu theo quy định của Bộ Xây dựng (hoặc Bộ Giao thông vận tải cũ).
- Biển hiệu phương tiện vận tải khách du lịch có giá trị 07 năm và không quá niên hạn sử dụng còn lại của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biển hiệu phương tiện vận tải khách du lịch theo Mẫu số 02 quy định tại Phụ lục kèm theo Nghị định 168/2017/NĐ-CP;</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Bảng kê thông tin về trang thiết bị của từng phương tiện, chất lượng dịch vụ, nhân viên phục vụ trên phương tiện vận tải khách du lịch đáp ứng điều kiện theo quy định tại Thông tư số 42/2017/TT-BGTVT ngày 15/11/2017 của Bộ trưởng Bộ Giao thông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đăng ký phương tiện hoặc giấy hẹn nhận giấy đăng ký phương tiện của cơ quan có thẩm quyền, bản sao giấy chứng nhận kiểm định an toàn kỹ thuật và bảo vệ môi trường. Trường hợp phương tiện không thuộc quyền sở hữu của đơn vị kinh doanh vận tải thì xuất trình thêm bản sao hợp đồng thuê phương tiện với tổ chức, cá nhân sở hữu phương tiện vận tải hoặc bản sao hợp đồng dịch vụ giữa thành viên và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168/2017/NĐ-CP</w:t>
            </w:r>
          </w:p>
        </w:tc>
        <w:tc>
          <w:p/>
          <w:p>
            <w:pPr>
              <w:spacing w:after="0" w:before="0" w:lineRule="auto" w:line="276"/>
              <w:jc w:val="left"/>
            </w:pPr>
            <w:r>
              <w:rPr>
                <w:rFonts w:ascii="Times New Roman" w:hAnsi="Times New Roman" w:cs="Times New Roman" w:eastAsia="Times New Roman"/>
                <w:b w:val="false"/>
                <w:sz w:val="26"/>
              </w:rPr>
              <w:t>31-12-2017</w:t>
            </w:r>
          </w:p>
        </w:tc>
        <w:tc>
          <w:p/>
        </w:tc>
      </w:tr>
      <w:tr>
        <w:tc>
          <w:p/>
          <w:p>
            <w:pPr>
              <w:spacing w:after="0" w:before="0" w:lineRule="auto" w:line="276"/>
              <w:jc w:val="left"/>
            </w:pPr>
            <w:r>
              <w:rPr>
                <w:rFonts w:ascii="Times New Roman" w:hAnsi="Times New Roman" w:cs="Times New Roman" w:eastAsia="Times New Roman"/>
                <w:b w:val="false"/>
                <w:sz w:val="26"/>
              </w:rPr>
              <w:t xml:space="preserve">09/2017/QH14 </w:t>
            </w:r>
          </w:p>
        </w:tc>
        <w:tc>
          <w:p/>
          <w:p>
            <w:pPr>
              <w:spacing w:after="0" w:before="0" w:lineRule="auto" w:line="276"/>
              <w:jc w:val="left"/>
            </w:pPr>
            <w:r>
              <w:rPr>
                <w:rFonts w:ascii="Times New Roman" w:hAnsi="Times New Roman" w:cs="Times New Roman" w:eastAsia="Times New Roman"/>
                <w:b w:val="false"/>
                <w:sz w:val="26"/>
              </w:rPr>
              <w:t>Luật 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42/2017/TT-BGTVT</w:t>
            </w:r>
          </w:p>
        </w:tc>
        <w:tc>
          <w:p/>
          <w:p>
            <w:pPr>
              <w:spacing w:after="0" w:before="0" w:lineRule="auto" w:line="276"/>
              <w:jc w:val="left"/>
            </w:pPr>
            <w:r>
              <w:rPr>
                <w:rFonts w:ascii="Times New Roman" w:hAnsi="Times New Roman" w:cs="Times New Roman" w:eastAsia="Times New Roman"/>
                <w:b w:val="false"/>
                <w:sz w:val="26"/>
              </w:rPr>
              <w:t>Thông tư 42/2017/TT-BGTVT</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điều khiển phương tiện, nhân viên phục vụ, trang thiết bị, chất lượng dịch vụ trên phương tiện vận tải khách du lịch bằng đường thủy nội địa đáp ứng điều kiện quy định tại Thông tư số 42/2017/TT-BGTVT ngày 15/11/2017 của Bộ trưởng Bộ Giao thông vận tải.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2026-05-17T14:55:58Z</dcterms:created>
  <dc:creator>Apache POI</dc:creator>
</cp:coreProperties>
</file>