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1.014204</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bức xạ và hạt nhân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Tổ chức, cá nhân muốn gia hạn giấy phép tiến hành công việc bức xạ phải gửi hồ sơ đến cơ quan nhà nước có thẩm quyền trước khi giấy phép hết hạn ít nhất 45 ngày đối với giấy phép có thời hạn trên 12 tháng. Sau thời điểm này, tổ chức, cá nhân phải đề nghị cấp giấy phép mới</w:t>
      </w:r>
    </w:p>
    <w:p>
      <w:pPr>
        <w:spacing w:after="0" w:before="0" w:lineRule="auto" w:line="276"/>
        <w:jc w:val="both"/>
      </w:pPr>
      <w:r>
        <w:rPr>
          <w:rFonts w:ascii="Times New Roman" w:hAnsi="Times New Roman" w:cs="Times New Roman" w:eastAsia="Times New Roman"/>
          <w:b w:val="false"/>
          <w:sz w:val="26"/>
        </w:rPr>
        <w:t>Tổ chức, cá nhân nộp hồ sơ theo trình tự như sau:
Bước 1: Tổ chức, cá nhân nộp hồ sơ đề nghị 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đến Ủy ban nhân dân (UBND) cấp tỉnh.</w:t>
      </w:r>
    </w:p>
    <w:p>
      <w:pPr>
        <w:spacing w:after="0" w:before="0" w:lineRule="auto" w:line="276"/>
        <w:jc w:val="both"/>
      </w:pPr>
      <w:r>
        <w:rPr>
          <w:rFonts w:ascii="Times New Roman" w:hAnsi="Times New Roman" w:cs="Times New Roman" w:eastAsia="Times New Roman"/>
          <w:b w:val="false"/>
          <w:sz w:val="26"/>
        </w:rPr>
        <w:t>Bước 2: Trong thời hạn 05 ngày làm việc kể từ ngày tiếp nhận hồ sơ, UBND cấp tỉnh kiểm tra tính đầy đủ, hợp lệ của hồ sơ và thông báo bằng văn bản mức phí đối với hồ sơ hợp lệ hoặc thông báo bằng văn bản yêu cầu sửa đổi, bổ sung hồ sơ nếu hồ sơ chưa đầy đủ, hợp lệ.</w:t>
      </w:r>
    </w:p>
    <w:p>
      <w:pPr>
        <w:spacing w:after="0" w:before="0" w:lineRule="auto" w:line="276"/>
        <w:jc w:val="both"/>
      </w:pPr>
      <w:r>
        <w:rPr>
          <w:rFonts w:ascii="Times New Roman" w:hAnsi="Times New Roman" w:cs="Times New Roman" w:eastAsia="Times New Roman"/>
          <w:b w:val="false"/>
          <w:sz w:val="26"/>
        </w:rPr>
        <w:t>Bước 3: Trong thời hạn 30 ngày kể từ ngày nhận được phí, lệ phí và hồ sơ đầy đủ, hợp lệ, UBND cấp tỉnh tổ chức thẩm định hồ sơ và cấp 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gia hạn giấy phép.</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thực hiện nộp hồ sơ đề nghị gia hạn giấy phép tiến hành công việc bức xạ kể từ ngày 01 tháng 12 năm 2023 đến hết ngày 31 tháng 12 năm 2025 được áp dụng mức thu phí bằng 90% mức thu phí theo quy định được nêu ở trên.)</w:t>
            </w:r>
          </w:p>
          <w:p>
            <w:pPr>
              <w:spacing w:after="0" w:before="0" w:lineRule="auto" w:line="276"/>
              <w:jc w:val="left"/>
            </w:pPr>
            <w:r>
              <w:rPr>
                <w:rFonts w:ascii="Times New Roman" w:hAnsi="Times New Roman" w:cs="Times New Roman" w:eastAsia="Times New Roman"/>
                <w:b w:val="false"/>
                <w:sz w:val="26"/>
              </w:rPr>
              <w:t>Phí : 75% phí thẩm định cấp giấy phép mới. Đồng</w:t>
              <w:t xml:space="preserve"> (75% phí thẩm định cấp giấy phép mới.)</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phí, lệ phí và hồ sơ đầy đủ, hợp lệ, UBND cấp tỉnh tổ chức thẩm định hồ sơ và cấp 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gia hạn giấy phép.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thực hiện nộp hồ sơ đề nghị gia hạn giấy phép tiến hành công việc bức xạ kể từ ngày 01 tháng 12 năm 2023 đến hết ngày 31 tháng 12 năm 2025 được áp dụng mức thu phí bằng 90% mức thu phí theo quy định được nêu ở trên.)</w:t>
            </w:r>
          </w:p>
          <w:p>
            <w:pPr>
              <w:spacing w:after="0" w:before="0" w:lineRule="auto" w:line="276"/>
              <w:jc w:val="left"/>
            </w:pPr>
            <w:r>
              <w:rPr>
                <w:rFonts w:ascii="Times New Roman" w:hAnsi="Times New Roman" w:cs="Times New Roman" w:eastAsia="Times New Roman"/>
                <w:b w:val="false"/>
                <w:sz w:val="26"/>
              </w:rPr>
              <w:t>Phí : 75% phí thẩm định cấp giấy phép mới. Đồng</w:t>
              <w:t xml:space="preserve"> (75% phí thẩm định cấp giấy phép mới.)</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phí, lệ phí và hồ sơ đầy đủ, hợp lệ, UBND cấp tỉnh tổ chức thẩm định hồ sơ và cấp 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gia hạn giấy phép.</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t>Phí :  Đồng</w:t>
              <w:t xml:space="preserve"> (Việc thực hiện nộp hồ sơ đề nghị gia hạn giấy phép tiến hành công việc bức xạ kể từ ngày 01 tháng 12 năm 2023 đến hết ngày 31 tháng 12 năm 2025 được áp dụng mức thu phí bằng 90% mức thu phí theo quy định được nêu ở trên.)</w:t>
            </w:r>
          </w:p>
          <w:p>
            <w:pPr>
              <w:spacing w:after="0" w:before="0" w:lineRule="auto" w:line="276"/>
              <w:jc w:val="left"/>
            </w:pPr>
            <w:r>
              <w:rPr>
                <w:rFonts w:ascii="Times New Roman" w:hAnsi="Times New Roman" w:cs="Times New Roman" w:eastAsia="Times New Roman"/>
                <w:b w:val="false"/>
                <w:sz w:val="26"/>
              </w:rPr>
              <w:t>Phí : 75% phí thẩm định cấp giấy phép mới. Đồng</w:t>
              <w:t xml:space="preserve"> (75% phí thẩm định cấp giấy phép mới.)</w:t>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được phí, lệ phí và hồ sơ đầy đủ, hợp lệ, UBND cấp tỉnh tổ chức thẩm định hồ sơ và cấp gia hạn 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 hoặc văn bản trả lời nêu rõ lý do trong trường hợp không đồng ý cấp gia hạn giấy phép.</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gia hạn giấy phép tiến hành công việc bức xạ (theo mẫu);</w:t>
            </w:r>
          </w:p>
        </w:tc>
        <w:tc>
          <w:p/>
          <w:p>
            <w:pPr>
              <w:spacing w:after="0" w:before="0" w:lineRule="auto" w:line="276"/>
              <w:jc w:val="left"/>
            </w:pPr>
            <w:r>
              <w:rPr>
                <w:rFonts w:ascii="Times New Roman" w:hAnsi="Times New Roman" w:cs="Times New Roman" w:eastAsia="Times New Roman"/>
                <w:b w:val="false"/>
                <w:sz w:val="26"/>
              </w:rPr>
              <w:t>Mus06PhlcIV-Munxingiahn.docx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giấy phép đã được cấp và sắp hết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khai báo đối với nhân viên bức xạ hoặc người phụ trách an toàn bức xạ (nếu có thay đổi so với hồ sơ đề nghị cấp giấy phép gần nhất) (theo mẫu);</w:t>
            </w:r>
          </w:p>
        </w:tc>
        <w:tc>
          <w:p/>
          <w:p>
            <w:pPr>
              <w:spacing w:after="0" w:before="0" w:lineRule="auto" w:line="276"/>
              <w:jc w:val="left"/>
            </w:pPr>
            <w:r>
              <w:rPr>
                <w:rFonts w:ascii="Times New Roman" w:hAnsi="Times New Roman" w:cs="Times New Roman" w:eastAsia="Times New Roman"/>
                <w:b w:val="false"/>
                <w:sz w:val="26"/>
              </w:rPr>
              <w:t>Mus01PhlcIII-Phiukhaibonhnvinbcx.docx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đánh giá an toàn bức xạ (nếu có thay đổi so với hồ sơ đề nghị cấp giấy phép gần nhất) (theo mẫu);</w:t>
            </w:r>
          </w:p>
        </w:tc>
        <w:tc>
          <w:p/>
          <w:p>
            <w:pPr>
              <w:spacing w:after="0" w:before="0" w:lineRule="auto" w:line="276"/>
              <w:jc w:val="left"/>
            </w:pPr>
            <w:r>
              <w:rPr>
                <w:rFonts w:ascii="Times New Roman" w:hAnsi="Times New Roman" w:cs="Times New Roman" w:eastAsia="Times New Roman"/>
                <w:b w:val="false"/>
                <w:sz w:val="26"/>
              </w:rPr>
              <w:t>Mus4-PhlcV-Boconhgianton-.docx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kết quả kiểm xạ;</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tiến hành công việc bức xạ - sử dụng thiết bị bức xạ chụp cắt lớp vi tính tích hợp với PET (PET/CT), tích hợp với SPECT (SPECT/CT); thiết bị bức xạ phát tia X trong phân tích huỳnh quang tia X, phân tích nhiễu xạ tia X, soi bo mạch, soi hiển vi điện tử, soi kiểm tra an ninh.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287/2016/TT-BTC</w:t>
            </w:r>
          </w:p>
        </w:tc>
        <w:tc>
          <w:p/>
          <w:p>
            <w:pPr>
              <w:spacing w:after="0" w:before="0" w:lineRule="auto" w:line="276"/>
              <w:jc w:val="left"/>
            </w:pPr>
            <w:r>
              <w:rPr>
                <w:rFonts w:ascii="Times New Roman" w:hAnsi="Times New Roman" w:cs="Times New Roman" w:eastAsia="Times New Roman"/>
                <w:b w:val="false"/>
                <w:sz w:val="26"/>
              </w:rPr>
              <w:t>15/11/2016</w:t>
            </w:r>
          </w:p>
        </w:tc>
        <w:tc>
          <w:p/>
          <w:p>
            <w:pPr>
              <w:spacing w:after="0" w:before="0" w:lineRule="auto" w:line="276"/>
              <w:jc w:val="left"/>
            </w:pPr>
            <w:r>
              <w:rPr>
                <w:rFonts w:ascii="Times New Roman" w:hAnsi="Times New Roman" w:cs="Times New Roman" w:eastAsia="Times New Roman"/>
                <w:b w:val="false"/>
                <w:sz w:val="26"/>
              </w:rPr>
              <w:t>01-01-2017</w:t>
            </w:r>
          </w:p>
        </w:tc>
        <w:tc>
          <w:p/>
        </w:tc>
      </w:tr>
      <w:tr>
        <w:tc>
          <w:p/>
          <w:p>
            <w:pPr>
              <w:spacing w:after="0" w:before="0" w:lineRule="auto" w:line="276"/>
              <w:jc w:val="left"/>
            </w:pPr>
            <w:r>
              <w:rPr>
                <w:rFonts w:ascii="Times New Roman" w:hAnsi="Times New Roman" w:cs="Times New Roman" w:eastAsia="Times New Roman"/>
                <w:b w:val="false"/>
                <w:sz w:val="26"/>
              </w:rPr>
              <w:t>18/2008/QH12</w:t>
            </w:r>
          </w:p>
        </w:tc>
        <w:tc>
          <w:p/>
          <w:p>
            <w:pPr>
              <w:spacing w:after="0" w:before="0" w:lineRule="auto" w:line="276"/>
              <w:jc w:val="left"/>
            </w:pPr>
            <w:r>
              <w:rPr>
                <w:rFonts w:ascii="Times New Roman" w:hAnsi="Times New Roman" w:cs="Times New Roman" w:eastAsia="Times New Roman"/>
                <w:b w:val="false"/>
                <w:sz w:val="26"/>
              </w:rPr>
              <w:t>Luật 18/2008/QH12-Năng lượng nguyên tử</w:t>
            </w:r>
          </w:p>
        </w:tc>
        <w:tc>
          <w:p/>
          <w:p>
            <w:pPr>
              <w:spacing w:after="0" w:before="0" w:lineRule="auto" w:line="276"/>
              <w:jc w:val="left"/>
            </w:pPr>
            <w:r>
              <w:rPr>
                <w:rFonts w:ascii="Times New Roman" w:hAnsi="Times New Roman" w:cs="Times New Roman" w:eastAsia="Times New Roman"/>
                <w:b w:val="false"/>
                <w:sz w:val="26"/>
              </w:rPr>
              <w:t>03-06-2008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142/2020/NĐ-CP</w:t>
            </w:r>
          </w:p>
        </w:tc>
        <w:tc>
          <w:p/>
          <w:p>
            <w:pPr>
              <w:spacing w:after="0" w:before="0" w:lineRule="auto" w:line="276"/>
              <w:jc w:val="left"/>
            </w:pPr>
            <w:r>
              <w:rPr>
                <w:rFonts w:ascii="Times New Roman" w:hAnsi="Times New Roman" w:cs="Times New Roman" w:eastAsia="Times New Roman"/>
                <w:b w:val="false"/>
                <w:sz w:val="26"/>
              </w:rPr>
              <w:t>Nghị định 142/2020/NĐ-CP</w:t>
            </w:r>
          </w:p>
        </w:tc>
        <w:tc>
          <w:p/>
          <w:p>
            <w:pPr>
              <w:spacing w:after="0" w:before="0" w:lineRule="auto" w:line="276"/>
              <w:jc w:val="left"/>
            </w:pPr>
            <w:r>
              <w:rPr>
                <w:rFonts w:ascii="Times New Roman" w:hAnsi="Times New Roman" w:cs="Times New Roman" w:eastAsia="Times New Roman"/>
                <w:b w:val="false"/>
                <w:sz w:val="26"/>
              </w:rPr>
              <w:t>09-12-2020</w:t>
            </w:r>
          </w:p>
        </w:tc>
        <w:tc>
          <w:p/>
        </w:tc>
      </w:tr>
      <w:tr>
        <w:tc>
          <w:p/>
          <w:p>
            <w:pPr>
              <w:spacing w:after="0" w:before="0" w:lineRule="auto" w:line="276"/>
              <w:jc w:val="left"/>
            </w:pPr>
            <w:r>
              <w:rPr>
                <w:rFonts w:ascii="Times New Roman" w:hAnsi="Times New Roman" w:cs="Times New Roman" w:eastAsia="Times New Roman"/>
                <w:b w:val="false"/>
                <w:sz w:val="26"/>
              </w:rPr>
              <w:t>02/2022/TT-BKHCN</w:t>
            </w:r>
          </w:p>
        </w:tc>
        <w:tc>
          <w:p/>
          <w:p>
            <w:pPr>
              <w:spacing w:after="0" w:before="0" w:lineRule="auto" w:line="276"/>
              <w:jc w:val="left"/>
            </w:pPr>
            <w:r>
              <w:rPr>
                <w:rFonts w:ascii="Times New Roman" w:hAnsi="Times New Roman" w:cs="Times New Roman" w:eastAsia="Times New Roman"/>
                <w:b w:val="false"/>
                <w:sz w:val="26"/>
              </w:rPr>
              <w:t>Thông tư 02/2022/TT-BKHCN</w:t>
            </w:r>
          </w:p>
        </w:tc>
        <w:tc>
          <w:p/>
          <w:p>
            <w:pPr>
              <w:spacing w:after="0" w:before="0" w:lineRule="auto" w:line="276"/>
              <w:jc w:val="left"/>
            </w:pPr>
            <w:r>
              <w:rPr>
                <w:rFonts w:ascii="Times New Roman" w:hAnsi="Times New Roman" w:cs="Times New Roman" w:eastAsia="Times New Roman"/>
                <w:b w:val="false"/>
                <w:sz w:val="26"/>
              </w:rPr>
              <w:t>25-02-2022</w:t>
            </w:r>
          </w:p>
        </w:tc>
        <w:tc>
          <w:p/>
        </w:tc>
      </w:tr>
      <w:tr>
        <w:tc>
          <w:p/>
          <w:p>
            <w:pPr>
              <w:spacing w:after="0" w:before="0" w:lineRule="auto" w:line="276"/>
              <w:jc w:val="left"/>
            </w:pPr>
            <w:r>
              <w:rPr>
                <w:rFonts w:ascii="Times New Roman" w:hAnsi="Times New Roman" w:cs="Times New Roman" w:eastAsia="Times New Roman"/>
                <w:b w:val="false"/>
                <w:sz w:val="26"/>
              </w:rPr>
              <w:t>13/2023/TT-BKHCN</w:t>
            </w:r>
          </w:p>
        </w:tc>
        <w:tc>
          <w:p/>
          <w:p>
            <w:pPr>
              <w:spacing w:after="0" w:before="0" w:lineRule="auto" w:line="276"/>
              <w:jc w:val="left"/>
            </w:pPr>
            <w:r>
              <w:rPr>
                <w:rFonts w:ascii="Times New Roman" w:hAnsi="Times New Roman" w:cs="Times New Roman" w:eastAsia="Times New Roman"/>
                <w:b w:val="false"/>
                <w:sz w:val="26"/>
              </w:rPr>
              <w:t>Thông tư số 13/2023/TT-BKHCN ngày 30 tháng 6 năm 2023 của Bộ trưởng Bộ Khoa học và công nghệ bãi bỏ một số văn bản quy phạm pháp luật do Bộ trưởng Bộ Khoa học và Công nghệ ban hành, liên tịch ban hành.</w:t>
            </w:r>
          </w:p>
        </w:tc>
        <w:tc>
          <w:p/>
          <w:p>
            <w:pPr>
              <w:spacing w:after="0" w:before="0" w:lineRule="auto" w:line="276"/>
              <w:jc w:val="left"/>
            </w:pPr>
            <w:r>
              <w:rPr>
                <w:rFonts w:ascii="Times New Roman" w:hAnsi="Times New Roman" w:cs="Times New Roman" w:eastAsia="Times New Roman"/>
                <w:b w:val="false"/>
                <w:sz w:val="26"/>
              </w:rPr>
              <w:t>30-06-2023</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63/2023/TT-BTC</w:t>
            </w:r>
          </w:p>
        </w:tc>
        <w:tc>
          <w:p/>
          <w:p>
            <w:pPr>
              <w:spacing w:after="0" w:before="0" w:lineRule="auto" w:line="276"/>
              <w:jc w:val="left"/>
            </w:pPr>
            <w:r>
              <w:rPr>
                <w:rFonts w:ascii="Times New Roman" w:hAnsi="Times New Roman" w:cs="Times New Roman" w:eastAsia="Times New Roman"/>
                <w:b w:val="false"/>
                <w:sz w:val="26"/>
              </w:rPr>
              <w:t>Thông tư số 63/2023/TT-BTC ngày 16/10/2023 của Bộ trưởng Bộ Tài chính quy định sửa đổi, bổ sung một số điều của một số thông tư quy định về phí, lệ phí của Bộ Trưởng Bộ Tài chính nhằm khuyến khích sử dụng dịch vụ công trực tuyến (có hiệu lực kể từ ngày 01/01/2024 đến hết ngày 31/12/2025)</w:t>
            </w:r>
          </w:p>
        </w:tc>
        <w:tc>
          <w:p/>
          <w:p>
            <w:pPr>
              <w:spacing w:after="0" w:before="0" w:lineRule="auto" w:line="276"/>
              <w:jc w:val="left"/>
            </w:pPr>
            <w:r>
              <w:rPr>
                <w:rFonts w:ascii="Times New Roman" w:hAnsi="Times New Roman" w:cs="Times New Roman" w:eastAsia="Times New Roman"/>
                <w:b w:val="false"/>
                <w:sz w:val="26"/>
              </w:rPr>
              <w:t>16-10-2023</w:t>
            </w:r>
          </w:p>
        </w:tc>
        <w:tc>
          <w:p/>
          <w:p>
            <w:pPr>
              <w:spacing w:after="0" w:before="0" w:lineRule="auto" w:line="276"/>
              <w:jc w:val="left"/>
            </w:pPr>
            <w:r>
              <w:rPr>
                <w:rFonts w:ascii="Times New Roman" w:hAnsi="Times New Roman" w:cs="Times New Roman" w:eastAsia="Times New Roman"/>
                <w:b w:val="false"/>
                <w:sz w:val="26"/>
              </w:rPr>
              <w:t>Bộ trưởng Bộ tài chính</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2026-05-01T10:01:03Z</dcterms:created>
  <dc:creator>Apache POI</dc:creator>
</cp:coreProperties>
</file>