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1.014207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Bổ sung giấy phép tiến hành công việc bức xạ - sử dụng thiết bị bức xạ chụp cắt lớp vi tính tích hợp với PET (PET/CT), tích hợp với SPECT (SPECT/CT); thiết bị bức xạ phát tia X trong phân tích huỳnh quang tia X, phân tích nhiễu xạ tia X, soi bo mạch, soi hiển vi điện tử, soi kiểm tra an ninh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bức xạ và hạt nhân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cá nhân đề nghị bổ sung giấy phép trong trường hợp bổ sung thiết bị bức xạ mới so với giấy phép đã được cấp.</w:t>
      </w:r>
    </w:p>
    <w:p>
      <w:pPr>
        <w:spacing w:after="0" w:before="0" w:lineRule="auto" w:line="276"/>
        <w:jc w:val="both"/>
      </w:pPr>
      <w:r>
        <w:rPr>
          <w:rFonts w:ascii="Times New Roman" w:hAnsi="Times New Roman" w:cs="Times New Roman" w:eastAsia="Times New Roman"/>
          <w:b w:val="false"/>
          <w:sz w:val="26"/>
        </w:rPr>
        <w:t>Tổ chức, cá nhân nộp hồ sơ theo trình tự sau: 
Bước 1: Tổ chức, cá nhân có nhu cầu đề nghị bổ sung giấy phép tiến hành công việc bức xạ sử dụng thiết bị bức xạ chụp cắt lớp vi tính tích hợp với PET (PET/CT), tích hợp với SPECT (SPECT/CT); thiết bị bức xạ phát tia X trong phân tích huỳnh quang tia X, phân tích nhiễu xạ tia X, soi bo mạch, soi hiển vi điện tử, soi kiểm tra an ninh nộp hồ sơ đến UBND cấp tỉnh.</w:t>
      </w:r>
    </w:p>
    <w:p>
      <w:pPr>
        <w:spacing w:after="0" w:before="0" w:lineRule="auto" w:line="276"/>
        <w:jc w:val="both"/>
      </w:pPr>
      <w:r>
        <w:rPr>
          <w:rFonts w:ascii="Times New Roman" w:hAnsi="Times New Roman" w:cs="Times New Roman" w:eastAsia="Times New Roman"/>
          <w:b w:val="false"/>
          <w:sz w:val="26"/>
        </w:rPr>
        <w:t>Bước 2: Trong thời hạn 05 ngày làm việc kể từ ngày tiếp nhận hồ sơ, UBND cấp tỉnh kiểm tra tính đầy đủ, hợp lệ của hồ sơ và thông báo bằng văn bản đối với hồ sơ hợp lệ hoặc thông báo bằng văn bản yêu cầu sửa đổi, bổ sung hồ sơ nếu hồ sơ chưa đầy đủ, hợp lệ.</w:t>
      </w:r>
    </w:p>
    <w:p>
      <w:pPr>
        <w:spacing w:after="0" w:before="0" w:lineRule="auto" w:line="276"/>
        <w:jc w:val="both"/>
      </w:pPr>
      <w:r>
        <w:rPr>
          <w:rFonts w:ascii="Times New Roman" w:hAnsi="Times New Roman" w:cs="Times New Roman" w:eastAsia="Times New Roman"/>
          <w:b w:val="false"/>
          <w:sz w:val="26"/>
        </w:rPr>
        <w:t>Bước 3: Trong thời hạn 30 ngày kể từ ngày nhận đủ hồ sơ hợp lệ theo quy định, UBND cấp tỉnh tổ chức thẩm định hồ sơ và cấp bổ sung giấy phép tiến hành công việc bức xạ - sử dụng thiết bị bức xạ chụp cắt lớp vi tính tích hợp với PET (PET/CT), tích hợp với SPECT (SPECT/CT); thiết bị bức xạ phát tia X trong phân tích huỳnh quang tia X, phân tích nhiễu xạ tia X, soi bo mạch, soi hiển vi điện tử, soi kiểm tra an ninh hoặc văn bản trả lời nêu rõ lý do trong trường hợp không đồng ý cấp bổ sung giấy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Không Đồng</w:t>
              <w:t xml:space="preserve"> (Không)</w:t>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đủ hồ sơ hợp lệ theo quy định, UBND cấp tỉnh tổ chức thẩm định hồ sơ và cấp bổ sung giấy phép tiến hành công việc bức xạ - sử dụng thiết bị bức xạ chụp cắt lớp vi tính tích hợp với PET (PET/CT), tích hợp với SPECT (SPECT/CT); thiết bị bức xạ phát tia X trong phân tích huỳnh quang tia X, phân tích nhiễu xạ tia X, soi bo mạch, soi hiển vi điện tử, soi kiểm tra an ninh hoặc văn bản trả lời nêu rõ lý do trong trường hợp không đồng ý cấp bổ sung giấy phép.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Không Đồng</w:t>
              <w:t xml:space="preserve"> (Không)</w:t>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đủ hồ sơ hợp lệ theo quy định, UBND cấp tỉnh tổ chức thẩm định hồ sơ và cấp bổ sung giấy phép tiến hành công việc bức xạ - sử dụng thiết bị bức xạ chụp cắt lớp vi tính tích hợp với PET (PET/CT), tích hợp với SPECT (SPECT/CT); thiết bị bức xạ phát tia X trong phân tích huỳnh quang tia X, phân tích nhiễu xạ tia X, soi bo mạch, soi hiển vi điện tử, soi kiểm tra an ninh hoặc văn bản trả lời nêu rõ lý do trong trường hợp không đồng ý cấp bổ sung giấy phép.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Không Đồng</w:t>
              <w:t xml:space="preserve"> (Không)</w:t>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đủ hồ sơ hợp lệ theo quy định, UBND cấp tỉnh tổ chức thẩm định hồ sơ và cấp bổ sung giấy phép tiến hành công việc bức xạ - sử dụng thiết bị bức xạ chụp cắt lớp vi tính tích hợp với PET (PET/CT), tích hợp với SPECT (SPECT/CT); thiết bị bức xạ phát tia X trong phân tích huỳnh quang tia X, phân tích nhiễu xạ tia X, soi bo mạch, soi hiển vi điện tử, soi kiểm tra an ninh hoặc văn bản trả lời nêu rõ lý do trong trường hợp không đồng ý cấp bổ sung giấy phép.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bổ sung giấy phép tiến hành công việc bức xạ (theo mẫu)</w:t>
            </w:r>
          </w:p>
        </w:tc>
        <w:tc>
          <w:p/>
          <w:p>
            <w:pPr>
              <w:spacing w:after="0" w:before="0" w:lineRule="auto" w:line="276"/>
              <w:jc w:val="left"/>
            </w:pPr>
            <w:r>
              <w:rPr>
                <w:rFonts w:ascii="Times New Roman" w:hAnsi="Times New Roman" w:cs="Times New Roman" w:eastAsia="Times New Roman"/>
                <w:b w:val="false"/>
                <w:sz w:val="26"/>
              </w:rPr>
              <w:t>Mus07PhlcIV.docx-nxinsaibsunggiyphp.docx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gốc giấy phép cần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khai báo thiết bị bức xạ mới đối với trường hợp bổ sung thiết bị bức xạ (theo mẫu); kèm theo bản sao tài liệu của nhà sản xuất cung cấp các thông tin như trong phiếu khai báo;</w:t>
            </w:r>
          </w:p>
        </w:tc>
        <w:tc>
          <w:p/>
          <w:p>
            <w:pPr>
              <w:spacing w:after="0" w:before="0" w:lineRule="auto" w:line="276"/>
              <w:jc w:val="left"/>
            </w:pPr>
            <w:r>
              <w:rPr>
                <w:rFonts w:ascii="Times New Roman" w:hAnsi="Times New Roman" w:cs="Times New Roman" w:eastAsia="Times New Roman"/>
                <w:b w:val="false"/>
                <w:sz w:val="26"/>
              </w:rPr>
              <w:t>Mus08PhlcIII.docx-PhieukhaithietbibucxaphattiaX.docx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đánh giá an toàn đối với công việc bức xạ bổ sung (theo mẫu);</w:t>
            </w:r>
          </w:p>
        </w:tc>
        <w:tc>
          <w:p/>
          <w:p>
            <w:pPr>
              <w:spacing w:after="0" w:before="0" w:lineRule="auto" w:line="276"/>
              <w:jc w:val="left"/>
            </w:pPr>
            <w:r>
              <w:rPr>
                <w:rFonts w:ascii="Times New Roman" w:hAnsi="Times New Roman" w:cs="Times New Roman" w:eastAsia="Times New Roman"/>
                <w:b w:val="false"/>
                <w:sz w:val="26"/>
              </w:rPr>
              <w:t>Mu-Boconhgianton.docx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chỉ nhân viên bức xạ của nhân viên trong trường hợp nhân viên đảm nhiệm công việc bức xạ được bổ sung yêu cầu phải có Chứng chỉ nhân viên bức xạ theo quy định tại khoản 1 Điều 28 của Luật năng lượng nguyên tử (Trường hợp chưa có chứng chỉ, phải nộp hồ sơ đề nghị cấp Chứng chỉ nhân viên bức xạ theo quy định tại Điều 35 của Nghị định 142/2020/NĐ-CP cùng hồ sơ đề nghị bổ sung giấy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tiến hành công việc bức xạ - sử dụng thiết bị bức xạ chụp cắt lớp vi tính tích hợp với PET (PET/CT), tích hợp với SPECT (SPECT/CT); thiết bị bức xạ phát tia X trong phân tích huỳnh quang tia X, phân tích nhiễu xạ tia X, soi bo mạch, soi hiển vi điện tử, soi kiểm tra an ninh.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287/2016/TT-BTC</w:t>
            </w:r>
          </w:p>
        </w:tc>
        <w:tc>
          <w:p/>
          <w:p>
            <w:pPr>
              <w:spacing w:after="0" w:before="0" w:lineRule="auto" w:line="276"/>
              <w:jc w:val="left"/>
            </w:pPr>
            <w:r>
              <w:rPr>
                <w:rFonts w:ascii="Times New Roman" w:hAnsi="Times New Roman" w:cs="Times New Roman" w:eastAsia="Times New Roman"/>
                <w:b w:val="false"/>
                <w:sz w:val="26"/>
              </w:rPr>
              <w:t>15/11/2016</w:t>
            </w:r>
          </w:p>
        </w:tc>
        <w:tc>
          <w:p/>
          <w:p>
            <w:pPr>
              <w:spacing w:after="0" w:before="0" w:lineRule="auto" w:line="276"/>
              <w:jc w:val="left"/>
            </w:pPr>
            <w:r>
              <w:rPr>
                <w:rFonts w:ascii="Times New Roman" w:hAnsi="Times New Roman" w:cs="Times New Roman" w:eastAsia="Times New Roman"/>
                <w:b w:val="false"/>
                <w:sz w:val="26"/>
              </w:rPr>
              <w:t>01-01-2017</w:t>
            </w:r>
          </w:p>
        </w:tc>
        <w:tc>
          <w:p/>
        </w:tc>
      </w:tr>
      <w:tr>
        <w:tc>
          <w:p/>
          <w:p>
            <w:pPr>
              <w:spacing w:after="0" w:before="0" w:lineRule="auto" w:line="276"/>
              <w:jc w:val="left"/>
            </w:pPr>
            <w:r>
              <w:rPr>
                <w:rFonts w:ascii="Times New Roman" w:hAnsi="Times New Roman" w:cs="Times New Roman" w:eastAsia="Times New Roman"/>
                <w:b w:val="false"/>
                <w:sz w:val="26"/>
              </w:rPr>
              <w:t>18/2008/QH12</w:t>
            </w:r>
          </w:p>
        </w:tc>
        <w:tc>
          <w:p/>
          <w:p>
            <w:pPr>
              <w:spacing w:after="0" w:before="0" w:lineRule="auto" w:line="276"/>
              <w:jc w:val="left"/>
            </w:pPr>
            <w:r>
              <w:rPr>
                <w:rFonts w:ascii="Times New Roman" w:hAnsi="Times New Roman" w:cs="Times New Roman" w:eastAsia="Times New Roman"/>
                <w:b w:val="false"/>
                <w:sz w:val="26"/>
              </w:rPr>
              <w:t>Luật 18/2008/QH12-Năng lượng nguyên tử</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02/2022/TT-BKHCN</w:t>
            </w:r>
          </w:p>
        </w:tc>
        <w:tc>
          <w:p/>
          <w:p>
            <w:pPr>
              <w:spacing w:after="0" w:before="0" w:lineRule="auto" w:line="276"/>
              <w:jc w:val="left"/>
            </w:pPr>
            <w:r>
              <w:rPr>
                <w:rFonts w:ascii="Times New Roman" w:hAnsi="Times New Roman" w:cs="Times New Roman" w:eastAsia="Times New Roman"/>
                <w:b w:val="false"/>
                <w:sz w:val="26"/>
              </w:rPr>
              <w:t>Thông tư 02/2022/TT-BKHCN</w:t>
            </w:r>
          </w:p>
        </w:tc>
        <w:tc>
          <w:p/>
          <w:p>
            <w:pPr>
              <w:spacing w:after="0" w:before="0" w:lineRule="auto" w:line="276"/>
              <w:jc w:val="left"/>
            </w:pPr>
            <w:r>
              <w:rPr>
                <w:rFonts w:ascii="Times New Roman" w:hAnsi="Times New Roman" w:cs="Times New Roman" w:eastAsia="Times New Roman"/>
                <w:b w:val="false"/>
                <w:sz w:val="26"/>
              </w:rPr>
              <w:t>25-02-2022</w:t>
            </w:r>
          </w:p>
        </w:tc>
        <w:tc>
          <w:p/>
        </w:tc>
      </w:tr>
      <w:tr>
        <w:tc>
          <w:p/>
          <w:p>
            <w:pPr>
              <w:spacing w:after="0" w:before="0" w:lineRule="auto" w:line="276"/>
              <w:jc w:val="left"/>
            </w:pPr>
            <w:r>
              <w:rPr>
                <w:rFonts w:ascii="Times New Roman" w:hAnsi="Times New Roman" w:cs="Times New Roman" w:eastAsia="Times New Roman"/>
                <w:b w:val="false"/>
                <w:sz w:val="26"/>
              </w:rPr>
              <w:t>142/2020/NĐ-CP</w:t>
            </w:r>
          </w:p>
        </w:tc>
        <w:tc>
          <w:p/>
          <w:p>
            <w:pPr>
              <w:spacing w:after="0" w:before="0" w:lineRule="auto" w:line="276"/>
              <w:jc w:val="left"/>
            </w:pPr>
            <w:r>
              <w:rPr>
                <w:rFonts w:ascii="Times New Roman" w:hAnsi="Times New Roman" w:cs="Times New Roman" w:eastAsia="Times New Roman"/>
                <w:b w:val="false"/>
                <w:sz w:val="26"/>
              </w:rPr>
              <w:t>Nghị định 142/2020/NĐ-CP</w:t>
            </w:r>
          </w:p>
        </w:tc>
        <w:tc>
          <w:p/>
          <w:p>
            <w:pPr>
              <w:spacing w:after="0" w:before="0" w:lineRule="auto" w:line="276"/>
              <w:jc w:val="left"/>
            </w:pPr>
            <w:r>
              <w:rPr>
                <w:rFonts w:ascii="Times New Roman" w:hAnsi="Times New Roman" w:cs="Times New Roman" w:eastAsia="Times New Roman"/>
                <w:b w:val="false"/>
                <w:sz w:val="26"/>
              </w:rPr>
              <w:t>09-12-2020</w:t>
            </w:r>
          </w:p>
        </w:tc>
        <w:tc>
          <w:p/>
        </w:tc>
      </w:tr>
      <w:tr>
        <w:tc>
          <w:p/>
          <w:p>
            <w:pPr>
              <w:spacing w:after="0" w:before="0" w:lineRule="auto" w:line="276"/>
              <w:jc w:val="left"/>
            </w:pPr>
            <w:r>
              <w:rPr>
                <w:rFonts w:ascii="Times New Roman" w:hAnsi="Times New Roman" w:cs="Times New Roman" w:eastAsia="Times New Roman"/>
                <w:b w:val="false"/>
                <w:sz w:val="26"/>
              </w:rPr>
              <w:t>13/2023/TT-BKHCN</w:t>
            </w:r>
          </w:p>
        </w:tc>
        <w:tc>
          <w:p/>
          <w:p>
            <w:pPr>
              <w:spacing w:after="0" w:before="0" w:lineRule="auto" w:line="276"/>
              <w:jc w:val="left"/>
            </w:pPr>
            <w:r>
              <w:rPr>
                <w:rFonts w:ascii="Times New Roman" w:hAnsi="Times New Roman" w:cs="Times New Roman" w:eastAsia="Times New Roman"/>
                <w:b w:val="false"/>
                <w:sz w:val="26"/>
              </w:rPr>
              <w:t>Thông tư số 13/2023/TT-BKHCN ngày 30 tháng 6 năm 2023 của Bộ trưởng Bộ Khoa học và công nghệ bãi bỏ một số văn bản quy phạm pháp luật do Bộ trưởng Bộ Khoa học và Công nghệ ban hành, liên tịch ban hành.</w:t>
            </w:r>
          </w:p>
        </w:tc>
        <w:tc>
          <w:p/>
          <w:p>
            <w:pPr>
              <w:spacing w:after="0" w:before="0" w:lineRule="auto" w:line="276"/>
              <w:jc w:val="left"/>
            </w:pPr>
            <w:r>
              <w:rPr>
                <w:rFonts w:ascii="Times New Roman" w:hAnsi="Times New Roman" w:cs="Times New Roman" w:eastAsia="Times New Roman"/>
                <w:b w:val="false"/>
                <w:sz w:val="26"/>
              </w:rPr>
              <w:t>30-06-2023</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2026-05-01T10:00:13Z</dcterms:created>
  <dc:creator>Apache POI</dc:creator>
</cp:coreProperties>
</file>