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hàng hóa từ khu phi thuế quan hoặc từ nội địa vào kho ngoại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khai hải quan thực hiện thủ tục hải quan đối với hàng hóa vận chuyển kết hợp để đưa từ khu phi thuế quan vào kho ngoại quan theo quy định tại khoản 1 Điều 51c Thông tư 39/2018/TT-BTC hoặc thủ tục hải quan đối với tờ khai xuất khẩu theo loại hình tưng ứng để đưa hàng hóa từ nội địa vào kho ngoại quan theo quy định tại Chương II Thông tư 39/2018/TT-BTC.
Địa điểm, hồ sơ và thủ tục hải quan đối với hàng hóa vận chuyển kết hợp thực hiện đồng thời với việc làm thủ tục hải quan đối với lô hàng xuất khẩu, nhập khẩu theo loại hình tương ứng; các thông tin Tờ khai vận chuyển kết hợp được khai theo các chỉ tiêu quy định tại mẫu số 01 hoặc mẫu số 02 Phụ lục I ban hành kèm Thông tư 39/2018/TT-BTC,
Trường hợp Hệ thống không hỗ trợ khai báo thông tin vận chuyển kết hợp, người khai hải quan đề nghị hàng hóa được vận chuyển chịu sự giám sát hải quan tại tiêu chí “Phần ghi chú” trên tờ khai hải quan (ghi rõ thời gian, tuyến đường, địa điểm nơi hàng hóa được vận chuyển đi và địa điểm nơi hàng hóa được vận chuyển đến).  Người khai hải quan có trách nhiệm xuất trình hàng hóa để cơ quan hải quan thực hiện việc niêm phong để bàn giao cho Chi cục hải quan nơi hàng hóa vận chuyển đến để làm tiếp thủ tục đối với các trường hợp quy định tại khoản 3 Điều 50 Thông tư  39/2018/TT-BTC.
a.1) Đối với hàng hóa xuất khẩu miễn kiểm tra thực tế đã thông quan, giải phóng hàng, hàng hóa đã được phê duyệt vận chuyển độc lập, sau khi tập kết hàng hóa trong khu vực giám sát hải quan, người khai hải quan hoặc người vận chuyển cung cấp thông tin số tờ khai, danh sách container theo mẫu số 29/DSCT/GSQL Phụ lục V (đối với hàng hóa vận chuyển bằng container) hoặc danh sách hàng hóa theo mẫu số 30/DSHH/GSQL Phụ lục V (đối với hàng hóa khác) hoặc Thông báo phê duyệt khai báo vận chuyển cho doanh nghiệp kinh doanh cảng, kho, bãi (đối với khu vực cảng biển, cảng hàng không, kho hàng không kéo dài) hoặc cơ quan hải quan tại cửa khẩu đường bộ, đường sông, đường thủy nội địa, ga đường sắt liên vận quốc tế;
Người khai hải quan thực hiện in danh sách container, danh sách hàng hóa trên Cổng thông tin điện tử hải quan (địa chỉ: http://www.customs.gov.vn) hoặc hệ thống khai của người khai hải quan. Trường hợp có sự thay đổi danh sách container, danh sách hàng hóa so với nội dung khai trên tờ khai hải quan khi hàng hóa đã vào khu vực giám sát, người khai hải quan in hoặc đề nghị công chức hải quan tại Chi cục Hải quan cửa khẩu in danh sách container, danh sách hàng hóa từ Hệ thống.
Trường hợp khai hải quan trên tờ khai hải quan giấy, người khai hải quan xuất trình tờ khai hải quan giấy được Chi cục Hải quan nơi đăng ký tờ khai xác nhận thông quan, giải phóng hàng.
a.2) Đối với hàng hóa xuất khẩu phải kiểm tra thực tế đã thông quan, giải phóng hàng tại Chi cục Hải quan ngoài cửa khẩu, người khai hải quan chịu trách nhiệm bảo quản nguyên trạng hàng hóa, niêm phong hải quan trong quá trình vận chuyển để xuất trình cho hải quan cửa khẩu xuất. Sau khi cơ quan hải quan kiểm tra xác nhận, người khai hải quan thực hiện công việc theo quy định tại điểm a.1 khoản này;
a.3) Đối với hàng hóa xuất khẩu do Chi cục Hải quan cửa khẩu thực hiện việc kiểm tra thực tế hàng hóa thì sau khi hàng hóa được thông quan, giải phóng hàng, người khai hải quan thực hiện theo điểm a.1 trên đây;
a.4) Trường hợp doanh nghiệp kinh doanh kho, bãi, cảng chưa có Hệ thống công nghệ thông tin đảm bảo tiêu chuẩn theo quy định để quản lý, giám sát hàng hóa xuất khẩu, nhập khẩu đưa vào lưu giữ, đưa ra khỏi khu vực cảng, kho, bãi thì người khai hải quan hoặc người vận chuyển cung cấp thông tin số tờ khai, danh sách container, danh sách hàng hóa cho cơ quan hải quan;
a.5) Trường hợp tờ khai hàng hóa xuất khẩu đã được thông quan, giải phóng hàng, hàng hóa đã đưa vào khu vực giám sát hải quan tại cửa khẩu xuất, nhưng người vận chuyển chỉ xếp được một phần lô hàng lên phương tiện vận tải xuất cảnh, phần còn lại sẽ được thực xuất lên phương tiện vận tải khác thì người vận chuyển có văn bản đề nghị gửi Chi cục Hải quan nơi lưu giữ hàng hóa để tiếp tục giám sát số hàng còn lại đến khi thực xuất hết.</w:t>
      </w:r>
    </w:p>
    <w:p>
      <w:pPr>
        <w:spacing w:after="0" w:before="0" w:lineRule="auto" w:line="276"/>
        <w:jc w:val="both"/>
      </w:pPr>
      <w:r>
        <w:rPr>
          <w:rFonts w:ascii="Times New Roman" w:hAnsi="Times New Roman" w:cs="Times New Roman" w:eastAsia="Times New Roman"/>
          <w:b w:val="false"/>
          <w:sz w:val="26"/>
        </w:rPr>
        <w:t>Bước 2: Người khai hải quan cung cấp số quản lý hàng hóa của lô hàng đưa vào kho ngoại quan cho doanh nghiệp kinh doanh  kho ngoại quan</w:t>
      </w:r>
    </w:p>
    <w:p>
      <w:pPr>
        <w:spacing w:after="0" w:before="0" w:lineRule="auto" w:line="276"/>
        <w:jc w:val="both"/>
      </w:pPr>
      <w:r>
        <w:rPr>
          <w:rFonts w:ascii="Times New Roman" w:hAnsi="Times New Roman" w:cs="Times New Roman" w:eastAsia="Times New Roman"/>
          <w:b w:val="false"/>
          <w:sz w:val="26"/>
        </w:rPr>
        <w:t>Bước 3: Cơ quan Hải quan tiếp nhận thông tin hàng hóa vào kho, thông tin sửa, hủy (nếu có) từ hệ thống của doanh nghiệp kinh doanh kho ngoại quan, phê duyệt thông tin hủy hàng vào kho (nếu có), trường hợp hàng hóa có sai khác hoặc có dấu hiệu vi phạm thì lập Biên bản chứng nhận hoặc Biên bản vi phạm hành chính (nếu có) và xử lý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Cơ quan hải quan tiếp nhận, đăng ký, kiểm tra hồ sơ hải quan ngay sau khi người khai hải quan nộp, xuất trình hồ sơ hải quan theo quy định của Luật Hải quan năm 2014.  - Sau khi người khai hải quan thực hiện đầy đủ các yêu cầu để làm thủ tục hải quan quy định tại điểm a và điểm b khoản 1 Điều 21 của Luật hải quan năm 2014, thời hạn công chức hải quan hoàn thành kiểm tra hồ sơ và kiểm tra thực tế hàng hóa, phương tiện vận tải được quy định như sau:  a) Hoàn thành việc kiểm tra hồ sơ chậm nhất là 02 giờ làm việc kể từ thời điểm cơ quan hải quan tiếp nhận đầy đủ hồ sơ hải quan;  b) Hoàn thành việc kiểm tra thực tế hàng hóa chậm nhất là 08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w:t>
            </w:r>
          </w:p>
        </w:tc>
        <w:tc>
          <w:p/>
          <w:p>
            <w:pPr>
              <w:spacing w:after="0" w:before="0" w:lineRule="auto" w:line="276"/>
              <w:jc w:val="left"/>
            </w:pPr>
            <w:r>
              <w:rPr>
                <w:rFonts w:ascii="Times New Roman" w:hAnsi="Times New Roman" w:cs="Times New Roman" w:eastAsia="Times New Roman"/>
                <w:b w:val="false"/>
                <w:sz w:val="26"/>
              </w:rPr>
              <w:t>Lệ phí : 20000 Đồng</w:t>
              <w:t xml:space="preserve"> (hàng hóa gửi kho ngoại quan thu lệ phí làm thủ tục hải quan một lần khi làm thủ tục nhập kho, khi xuất kho không thu; mức thu là 20.000 VNĐ/tờ khai)</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không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hàng hóa đã qua khu vực giám sát trên Hệ thống.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172/2010/TT-BTC</w:t>
            </w:r>
          </w:p>
        </w:tc>
        <w:tc>
          <w:p/>
          <w:p>
            <w:pPr>
              <w:spacing w:after="0" w:before="0" w:lineRule="auto" w:line="276"/>
              <w:jc w:val="left"/>
            </w:pPr>
            <w:r>
              <w:rPr>
                <w:rFonts w:ascii="Times New Roman" w:hAnsi="Times New Roman" w:cs="Times New Roman" w:eastAsia="Times New Roman"/>
                <w:b w:val="false"/>
                <w:sz w:val="26"/>
              </w:rPr>
              <w:t>Thông tư 172/2010/TT-BTC</w:t>
            </w:r>
          </w:p>
        </w:tc>
        <w:tc>
          <w:p/>
          <w:p>
            <w:pPr>
              <w:spacing w:after="0" w:before="0" w:lineRule="auto" w:line="276"/>
              <w:jc w:val="left"/>
            </w:pPr>
            <w:r>
              <w:rPr>
                <w:rFonts w:ascii="Times New Roman" w:hAnsi="Times New Roman" w:cs="Times New Roman" w:eastAsia="Times New Roman"/>
                <w:b w:val="false"/>
                <w:sz w:val="26"/>
              </w:rPr>
              <w:t>02-11-2010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106/2016/TT-BTC</w:t>
            </w:r>
          </w:p>
        </w:tc>
        <w:tc>
          <w:p/>
          <w:p>
            <w:pPr>
              <w:spacing w:after="0" w:before="0" w:lineRule="auto" w:line="276"/>
              <w:jc w:val="left"/>
            </w:pPr>
            <w:r>
              <w:rPr>
                <w:rFonts w:ascii="Times New Roman" w:hAnsi="Times New Roman" w:cs="Times New Roman" w:eastAsia="Times New Roman"/>
                <w:b w:val="false"/>
                <w:sz w:val="26"/>
              </w:rPr>
              <w:t>thông tư 106/2016/TT-BTC</w:t>
            </w:r>
          </w:p>
        </w:tc>
        <w:tc>
          <w:p/>
          <w:p>
            <w:pPr>
              <w:spacing w:after="0" w:before="0" w:lineRule="auto" w:line="276"/>
              <w:jc w:val="left"/>
            </w:pPr>
            <w:r>
              <w:rPr>
                <w:rFonts w:ascii="Times New Roman" w:hAnsi="Times New Roman" w:cs="Times New Roman" w:eastAsia="Times New Roman"/>
                <w:b w:val="false"/>
                <w:sz w:val="26"/>
              </w:rPr>
              <w:t>29-06-2016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2026-05-07T16:30:14Z</dcterms:created>
  <dc:creator>Apache POI</dc:creator>
</cp:coreProperties>
</file>