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chỉ định tổ chức đánh giá sự phù hợp hoạt động thử nghiệm, giám định, kiểm định, chứng nhận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w:t>
      </w:r>
    </w:p>
    <w:p>
      <w:pPr>
        <w:spacing w:after="0" w:before="0" w:lineRule="auto" w:line="276"/>
        <w:jc w:val="both"/>
      </w:pPr>
      <w:r>
        <w:rPr>
          <w:rFonts w:ascii="Times New Roman" w:hAnsi="Times New Roman" w:cs="Times New Roman" w:eastAsia="Times New Roman"/>
          <w:b w:val="false"/>
          <w:sz w:val="26"/>
        </w:rPr>
        <w:t>
Tổ chức đánh giá sự phù hợp khi có nhu cầu tham gia hoạt động thử nghiệm, giám định, kiểm định, chứng nhận đối với các sản phẩm, hàng hóa được quản lý bởi các quy chuẩn kỹ thuật địa phương do Ủy ban nhân dân tỉnh, thành phố trực thuộc trung ương ban hành thì gửi hồ sơ đăng ký chỉ định đến Ủy ban nhân dân tỉnh, thành phố trực thuộc trung ương đó (Cơ quan chỉ định).</w:t>
      </w:r>
    </w:p>
    <w:p>
      <w:pPr>
        <w:spacing w:after="0" w:before="0" w:lineRule="auto" w:line="276"/>
        <w:jc w:val="both"/>
      </w:pPr>
      <w:r>
        <w:rPr>
          <w:rFonts w:ascii="Times New Roman" w:hAnsi="Times New Roman" w:cs="Times New Roman" w:eastAsia="Times New Roman"/>
          <w:b w:val="false"/>
          <w:sz w:val="26"/>
        </w:rPr>
        <w:t>Bước 2: Xử lý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đăng ký, nếu hồ sơ không đầy đủ, hợp lệ theo quy định, Cơ quan chỉ định thông báo bằng văn bản yêu cầu tổ chức đánh giá sự phù hợp sửa đổi, bổ sung hồ sơ;</w:t>
      </w:r>
    </w:p>
    <w:p>
      <w:pPr>
        <w:spacing w:after="0" w:before="0" w:lineRule="auto" w:line="276"/>
        <w:jc w:val="both"/>
      </w:pPr>
      <w:r>
        <w:rPr>
          <w:rFonts w:ascii="Times New Roman" w:hAnsi="Times New Roman" w:cs="Times New Roman" w:eastAsia="Times New Roman"/>
          <w:b w:val="false"/>
          <w:sz w:val="26"/>
        </w:rPr>
        <w:t>- Sau khi nhận được hồ sơ hợp lệ, Cơ quan chỉ định cử chuyên gia hoặc thành lập đoàn đánh giá và phải thông báo bằng văn bản cho tổ chức đánh giá sự phù hợp về việc đánh giá năng lực thực tế tại tổ chức đánh giá sự phù hợp.</w:t>
      </w:r>
    </w:p>
    <w:p>
      <w:pPr>
        <w:spacing w:after="0" w:before="0" w:lineRule="auto" w:line="276"/>
        <w:jc w:val="both"/>
      </w:pPr>
      <w:r>
        <w:rPr>
          <w:rFonts w:ascii="Times New Roman" w:hAnsi="Times New Roman" w:cs="Times New Roman" w:eastAsia="Times New Roman"/>
          <w:b w:val="false"/>
          <w:sz w:val="26"/>
        </w:rPr>
        <w:t>Trong thời hạn 20 ngày kể từ khi nhận được hồ sơ hợp lệ, chuyên gia hoặc đoàn đánh giá phải hoàn thành việc đánh giá năng lực thực tế tại tổ chức đánh giá sự phù hợp và ký biên bản đánh giá thực tế.</w:t>
      </w:r>
    </w:p>
    <w:p>
      <w:pPr>
        <w:spacing w:after="0" w:before="0" w:lineRule="auto" w:line="276"/>
        <w:jc w:val="both"/>
      </w:pPr>
      <w:r>
        <w:rPr>
          <w:rFonts w:ascii="Times New Roman" w:hAnsi="Times New Roman" w:cs="Times New Roman" w:eastAsia="Times New Roman"/>
          <w:b w:val="false"/>
          <w:sz w:val="26"/>
        </w:rPr>
        <w:t>Trường hợp, tổ chức đánh giá sự phù hợp phải khắc phục các nội dung quy định trong biên bản đánh giá thực tế, trong thời hạn 30 ngày kể từ ngày ký biên bản đánh giá thực tế, tổ chức đánh giá sự phù hợp phải gửi báo cáo kết quả hành động khắc phục về Cơ quan chỉ định; trường hợp phải kéo dài thêm thời hạn thì phải nêu rõ thời hạn chính thức hoàn thành việc khắc phục các nội dung còn lại.</w:t>
      </w:r>
    </w:p>
    <w:p>
      <w:pPr>
        <w:spacing w:after="0" w:before="0" w:lineRule="auto" w:line="276"/>
        <w:jc w:val="both"/>
      </w:pPr>
      <w:r>
        <w:rPr>
          <w:rFonts w:ascii="Times New Roman" w:hAnsi="Times New Roman" w:cs="Times New Roman" w:eastAsia="Times New Roman"/>
          <w:b w:val="false"/>
          <w:sz w:val="26"/>
        </w:rPr>
        <w:t>Chi phí phục vụ hoạt động đánh giá của chuyên gia hoặc đoàn đánh giá do tổ chức đánh giá sự phù hợp đăng ký chỉ định bảo đảm.</w:t>
      </w:r>
    </w:p>
    <w:p>
      <w:pPr>
        <w:spacing w:after="0" w:before="0" w:lineRule="auto" w:line="276"/>
        <w:jc w:val="both"/>
      </w:pPr>
      <w:r>
        <w:rPr>
          <w:rFonts w:ascii="Times New Roman" w:hAnsi="Times New Roman" w:cs="Times New Roman" w:eastAsia="Times New Roman"/>
          <w:b w:val="false"/>
          <w:sz w:val="26"/>
        </w:rPr>
        <w:t>Bước 3: Ban hành Quyết định chỉ định tổ chức đánh giá sự phù hợp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báo cáo kết quả hành động khắc phục theo biên bản đánh giá thực tế, nếu tổ chức đánh giá sự phù hợp đáp ứng yêu cầu theo quy định, Cơ quan chỉ định ban hành quyết định chỉ định cho tổ chức đánh giá sự phù hợp. Thời hạn hiệu lực của quyết định chỉ định không quá 05 năm kể từ ngày ký ban hành.</w:t>
      </w:r>
    </w:p>
    <w:p>
      <w:pPr>
        <w:spacing w:after="0" w:before="0" w:lineRule="auto" w:line="276"/>
        <w:jc w:val="both"/>
      </w:pPr>
      <w:r>
        <w:rPr>
          <w:rFonts w:ascii="Times New Roman" w:hAnsi="Times New Roman" w:cs="Times New Roman" w:eastAsia="Times New Roman"/>
          <w:b w:val="false"/>
          <w:sz w:val="26"/>
        </w:rPr>
        <w:t>Trong trường hợp từ chối việc chỉ định, Cơ quan chỉ định phải thông báo lý do bằng văn bản cho tổ chức đánh giá sự phù hợp.</w:t>
      </w:r>
    </w:p>
    <w:p>
      <w:pPr>
        <w:spacing w:after="0" w:before="0" w:lineRule="auto" w:line="276"/>
        <w:jc w:val="both"/>
      </w:pPr>
      <w:r>
        <w:rPr>
          <w:rFonts w:ascii="Times New Roman" w:hAnsi="Times New Roman" w:cs="Times New Roman" w:eastAsia="Times New Roman"/>
          <w:b w:val="false"/>
          <w:sz w:val="26"/>
        </w:rPr>
        <w:t>Bước 4: Trả kết quả</w:t>
      </w:r>
    </w:p>
    <w:p>
      <w:pPr>
        <w:spacing w:after="0" w:before="0" w:lineRule="auto" w:line="276"/>
        <w:jc w:val="both"/>
      </w:pPr>
      <w:r>
        <w:rPr>
          <w:rFonts w:ascii="Times New Roman" w:hAnsi="Times New Roman" w:cs="Times New Roman" w:eastAsia="Times New Roman"/>
          <w:b w:val="false"/>
          <w:sz w:val="26"/>
        </w:rPr>
        <w:t>Trả kết quả trực tiếp tại trụ sở Cơ quan chỉ định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đăng ký: Cơ quan chỉ định thông báo yêu cầu sửa đổi, bổ sung hồ sơ.
- Trong thời hạn 20 ngày kể từ khi nhận được hồ sơ hợp lệ: Cơ quan chỉ định đánh giá năng lực thực tế tại tổ chức đánh giá sự phù hợp và ký biên bản đánh giá thực tế.
- Trong thời hạn 05 ngày làm việc kể từ ngày nhận được báo cáo kết quả hành động khắc phục theo biên bản đánh giá thực tế: Cơ quan chỉ định ban hành quyết định chỉ định
Trong trường hợp từ chối việc chỉ định, Cơ quan chỉ định phải thông báo lý do bằng văn bản cho tổ chức đánh giá sự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đăng ký: Cơ quan chỉ định thông báo yêu cầu sửa đổi, bổ sung hồ sơ.
- Trong thời hạn 20 ngày kể từ khi nhận được hồ sơ hợp lệ: Cơ quan chỉ định đánh giá năng lực thực tế tại tổ chức đánh giá sự phù hợp và ký biên bản đánh giá thực tế.
- Trong thời hạn 05 ngày làm việc kể từ ngày nhận được báo cáo kết quả hành động khắc phục theo biên bản đánh giá thực tế: Cơ quan chỉ định ban hành quyết định chỉ định
Trong trường hợp từ chối việc chỉ định, Cơ quan chỉ định phải thông báo lý do bằng văn bản cho tổ chức đánh giá sự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hồ sơ đăng ký: Cơ quan chỉ định thông báo yêu cầu sửa đổi, bổ sung hồ sơ.
- Trong thời hạn 20 ngày kể từ khi nhận được hồ sơ hợp lệ: Cơ quan chỉ định đánh giá năng lực thực tế tại tổ chức đánh giá sự phù hợp và ký biên bản đánh giá thực tế.
- Trong thời hạn 05 ngày làm việc kể từ ngày nhận được báo cáo kết quả hành động khắc phục theo biên bản đánh giá thực tế: Cơ quan chỉ định ban hành quyết định chỉ định
Trong trường hợp từ chối việc chỉ định, Cơ quan chỉ định phải thông báo lý do bằng văn bản cho tổ chức đánh giá sự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theo TTHC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thử nghiệm viên, giám định viên, kiểm định viên, chuyên gia đánh giá theo quy định tại Mẫu số 05 Phụ lục ban hành kèm theo Nghị định số 74/2018/NĐ-CP có bản sao chứng chỉ đào tạo chuyên môn, nghiệp vụ;</w:t>
            </w:r>
          </w:p>
        </w:tc>
        <w:tc>
          <w:p/>
          <w:p>
            <w:pPr>
              <w:spacing w:after="0" w:before="0" w:lineRule="auto" w:line="276"/>
              <w:jc w:val="left"/>
            </w:pPr>
            <w:r>
              <w:rPr>
                <w:rFonts w:ascii="Times New Roman" w:hAnsi="Times New Roman" w:cs="Times New Roman" w:eastAsia="Times New Roman"/>
                <w:b w:val="false"/>
                <w:sz w:val="26"/>
              </w:rPr>
              <w:t>DANH SÁCH THỬ NGHIỆM VIÊN,GIÁM ĐỊNH VIÊN,KIỂM ĐỊNH VIÊN,CHUYÊN GIA ĐÁNH GIÁ.docx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liệu kỹ thuật, tiêu chuẩn và quy trình, thủ tục thử nghiệm, giám định, kiểm định, chứng nhận tương ứng theo quy định tại Mẫu số 06 Phụ lục ban hành kèm theo Nghị định số 74/2018/NĐ-CP, có bản sao Quy trình, thủ tục thử nghiệm, giám định, kiểm định, chứng nhận tương ứng với sản phẩm, hàng hóa, quá trình, môi trường đăng ký chỉ định kèm theo;</w:t>
            </w:r>
          </w:p>
        </w:tc>
        <w:tc>
          <w:p/>
          <w:p>
            <w:pPr>
              <w:spacing w:after="0" w:before="0" w:lineRule="auto" w:line="276"/>
              <w:jc w:val="left"/>
            </w:pPr>
            <w:r>
              <w:rPr>
                <w:rFonts w:ascii="Times New Roman" w:hAnsi="Times New Roman" w:cs="Times New Roman" w:eastAsia="Times New Roman"/>
                <w:b w:val="false"/>
                <w:sz w:val="26"/>
              </w:rPr>
              <w:t>DANH MỤC TÀI LIỆU KỸ THUẬT, TIÊU CHUẨN VÀ QUY TRÌNH,THỦ TỤC THỬ NGHIỆM,GIÁM ĐỊNH,KIỂM ĐỊNH,CHỨNG NHẬN.docx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máy móc, thiết bị thử nghiệm đối với lĩnh vực đăng ký chỉ định (đối với tổ chức thử nghiệm, kiểm định) theo quy định tại Mẫu số 07 Phụ lục ban hành kèm theo Nghị định số 74/2018/NĐ-CP, có bản sao Giấy chứng nhận kiểm định, hiệu chuẩn còn hiệu lực kèm theo;</w:t>
            </w:r>
          </w:p>
        </w:tc>
        <w:tc>
          <w:p/>
          <w:p>
            <w:pPr>
              <w:spacing w:after="0" w:before="0" w:lineRule="auto" w:line="276"/>
              <w:jc w:val="left"/>
            </w:pPr>
            <w:r>
              <w:rPr>
                <w:rFonts w:ascii="Times New Roman" w:hAnsi="Times New Roman" w:cs="Times New Roman" w:eastAsia="Times New Roman"/>
                <w:b w:val="false"/>
                <w:sz w:val="26"/>
              </w:rPr>
              <w:t>DANH MỤC MÁY MÓC, THIẾT BỊ PHỤC VỤ THỬ NGHIỆM,KIỂM ĐỊNH.docx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công nhận năng lực thử nghiệm, giám định, kiểm định, chứng nhận do tổ chức công nhận hợp pháp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quả thử nghiệm thành thạo hoặc so sánh liên phòng đối với phương pháp thử của sản phẩm, hàng hóa đăng ký chỉ định (đối với tổ chức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thử nghiệm, giám định, kiểm định,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chỉ định hoạt động đánh giá sự phù hợp</w:t>
            </w:r>
          </w:p>
        </w:tc>
        <w:tc>
          <w:p/>
          <w:p>
            <w:pPr>
              <w:spacing w:after="0" w:before="0" w:lineRule="auto" w:line="276"/>
              <w:jc w:val="left"/>
            </w:pPr>
            <w:r>
              <w:rPr>
                <w:rFonts w:ascii="Times New Roman" w:hAnsi="Times New Roman" w:cs="Times New Roman" w:eastAsia="Times New Roman"/>
                <w:b w:val="false"/>
                <w:sz w:val="26"/>
              </w:rPr>
              <w:t>ĐƠN ĐĂNG KÝ CHỈ ĐỊNH HOẠT ĐỘNG ĐÁNH GIÁ SỰ PHÙ HỢP.docx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đánh giá sự phù hợp đồng thời nộp hồ sơ đăng ký hoạt động (theo quy định tại Nghị định số 107/2016/NĐ-CP ngày 01/7/2016 của Chính phủ quy định điều kiện kinh doanh dịch vụ đánh giá sự phù hợp) và hồ sơ đăng ký chỉ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tổ chức đánh giá sự phù hợp không phải nộp kèm theo các thành phần hồ sơ quy định tại điểm b, c, d, đ, e của khoản 1 Điều 18b Nghị định số 74/2018/NĐ-CP.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các phép thử không có đơn vị tổ chức thử nghiệm thành thạo hoặc không thể thực hiện so sánh liên phòng do không có phòng thử nghiệm nào trong nước phân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phương pháp thử, xác nhận giá trị sử dụng của phương pháp thử và chất chuẩn để kiểm soát chất lượng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tổ chức đánh giá sự phù hợp (Bộ KH&amp;CN)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đối với tổ chức thử nghiệm được chỉ định
+ Đã được cấp giấy chứng nhận đăng ký hoạt động thử nghiệm theo quy định tại Nghị định số 107/2016/NĐ-CP, trong đó có lĩnh vực thử nghiệm đăng ký chỉ định;
+ Phải thực hiện việc thử nghiệm thành thạo hoặc so sánh liên phòng đối với phương pháp thử của sản phẩm, hàng hóa đăng ký chỉ định.
Đối với các phép thử không có đơn vị tổ chức thử nghiệm thành thạo hoặc không thể thực hiện so sánh liên phòng do không có phòng thử nghiệm nào trong nước phân tích thì phải bổ sung hồ sơ phương pháp thử, xác nhận giá trị sử dụng của phương pháp thử và chất chuẩn để kiểm soát chất lượng thử nghiệm.
- Điều kiện đối với tổ chức kiểm định, giám định, chứng nhận được chỉ định: Đã được cấp giấy chứng nhận đăng ký hoạt động kiểm định, giám định, chứng nhận theo quy định tại Nghị định số 107/2016/NĐ-CP, trong đó có lĩnh vực kiểm định, giám định, chứng nhận đăng ký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2026-05-25T08:02:45Z</dcterms:created>
  <dc:creator>Apache POI</dc:creator>
</cp:coreProperties>
</file>