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2.002806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8069/QĐ-NHCS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phê duyệt cho vay chương trình tín dụng đối với học sinh, sinh viên, học viên thạc sĩ, nghiên cứu sinh học các ngành khoa học, công nghệ, kỹ thuật và toán thông qua hộ gia đình.</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tín dụng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đứng tên vay vốn:
-	Tự nguyện gia nhập Tổ Tiết kiệm và vay vốn (TK&amp;VV) tại nơi người đứng tên vay vốn cư trú hợp pháp.
- Viết Giấy đề nghị vay vốn (Mẫu số 01/TD), Giấy uỷ quyền (Mẫu số 01/UQ, 03/UQ) (nếu có) và các giấy tờ có liên quan gửi Ban quản lý Tổ TK&amp;VV.</w:t>
      </w:r>
    </w:p>
    <w:p>
      <w:pPr>
        <w:spacing w:after="0" w:before="0" w:lineRule="auto" w:line="276"/>
        <w:jc w:val="both"/>
      </w:pPr>
      <w:r>
        <w:rPr>
          <w:rFonts w:ascii="Times New Roman" w:hAnsi="Times New Roman" w:cs="Times New Roman" w:eastAsia="Times New Roman"/>
          <w:b w:val="false"/>
          <w:sz w:val="26"/>
        </w:rPr>
        <w:t>Bước 2. Ban quản lý Tổ TK&amp;VV:
- Tổ chức họp Tổ TK&amp;VV để bổ sung tổ viên (nếu có) và bình xét tổ viên vay vốn, lập thành Biên bản họp (Mẫu số 10C/TD).
- Lập danh sách tổ viên đề nghị vay vốn NHCSXH (Mẫu số 03/TD), kèm Giấy đề nghị vay vốn kiêm phương án sử dụng vốn vay, biên bản họp tổ (Mẫu số 10C/TD) gửi UBND cấp xã xác nhận. 
- Gửi bộ hồ sơ vay vốn đến NHCSXH nơi thực hiện thủ tục sau khi có xác nhận của UBND cấp xã trên danh sách tổ viên đề nghị vay vốn NHCSXH (Mẫu số 03/TD).</w:t>
      </w:r>
    </w:p>
    <w:p>
      <w:pPr>
        <w:spacing w:after="0" w:before="0" w:lineRule="auto" w:line="276"/>
        <w:jc w:val="both"/>
      </w:pPr>
      <w:r>
        <w:rPr>
          <w:rFonts w:ascii="Times New Roman" w:hAnsi="Times New Roman" w:cs="Times New Roman" w:eastAsia="Times New Roman"/>
          <w:b w:val="false"/>
          <w:sz w:val="26"/>
        </w:rPr>
        <w:t>Bước 3. NHCSXH nơi thực hiện thủ tục: 
- Xem xét, phê duyệt cho vay sau khi đã nhận đủ hồ sơ từ Ban quản lý           Tổ TK&amp;VV.
- Gửi Thông báo kết quả phê duyệt cho vay (Mẫu số 04/TD) tới UBND cấp xã để thông báo đến người vay.</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đứng tên vay vốn nộp bộ hồ sơ vay vốn trực tiếp tới Ban quản lý Tổ TK&amp;VV nơi người vay cư trú hợp pháp. Trong thời hạn không quá 03 ngày làm việc kể từ ngày NHCSXH nơi thực hiện thủ tục nhận được bộ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Ban quản lý Tổ TK&amp;VV lập: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sách tổ viên đề nghị vay vốn NHCSXH (mẫu số 03/TD): 04 bản (Tổ TK&amp;VV lưu 01 bản chính, Tổ chức chính trị - xã hội nhận ủy thác lưu 01 bản sao, NHCSXH nơi thực hiện thủ tục lưu 01 bản chính và 01 bản sao);</w:t>
            </w:r>
          </w:p>
        </w:tc>
        <w:tc>
          <w:p/>
          <w:p>
            <w:pPr>
              <w:spacing w:after="0" w:before="0" w:lineRule="auto" w:line="276"/>
              <w:jc w:val="left"/>
            </w:pPr>
            <w:r>
              <w:rPr>
                <w:rFonts w:ascii="Times New Roman" w:hAnsi="Times New Roman" w:cs="Times New Roman" w:eastAsia="Times New Roman"/>
                <w:b w:val="false"/>
                <w:sz w:val="26"/>
              </w:rPr>
              <w:t>03-TD (VB-3524 ngày 28.4.2023).doc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2</w:t>
            </w:r>
          </w:p>
        </w:tc>
      </w:tr>
      <w:tr>
        <w:tc>
          <w:p/>
          <w:p>
            <w:pPr>
              <w:spacing w:after="0" w:before="0" w:lineRule="auto" w:line="276"/>
              <w:jc w:val="left"/>
            </w:pPr>
            <w:r>
              <w:rPr>
                <w:rFonts w:ascii="Times New Roman" w:hAnsi="Times New Roman" w:cs="Times New Roman" w:eastAsia="Times New Roman"/>
                <w:b w:val="false"/>
                <w:sz w:val="26"/>
              </w:rPr>
              <w:t>* Ban quản lý Tổ TK&amp;VV lập: Biên bản họp Tổ TK&amp;VV đối với trường hợp kết nạp thêm tổ viên mới (mẫu số 10C/TD): 02 bản (01 bản chính lưu Tổ TK&amp;VV, 01 bản sao lưu NHCSXH nơi thực hiện thủ tục).</w:t>
            </w:r>
          </w:p>
        </w:tc>
        <w:tc>
          <w:p/>
          <w:p>
            <w:pPr>
              <w:spacing w:after="0" w:before="0" w:lineRule="auto" w:line="276"/>
              <w:jc w:val="left"/>
            </w:pPr>
            <w:r>
              <w:rPr>
                <w:rFonts w:ascii="Times New Roman" w:hAnsi="Times New Roman" w:cs="Times New Roman" w:eastAsia="Times New Roman"/>
                <w:b w:val="false"/>
                <w:sz w:val="26"/>
              </w:rPr>
              <w:t>10C-TD-BB kết nạp thêm thành viên mới.doc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liên quan người vay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khai thông tin theo mẫu quy định tại Phụ lục I đính kèm Quyết định số 29/2025/QĐ-TTg (Tại thời điểm đề nghị NHCSXH vay vốn):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TkhaithngtinPhLcI-29-Q-TTg-Copy.doc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thông tin theo mẫu quy định tại Phụ lục II đính kèm Quyết định số 29/2025/QĐ-TTg (Hằng năm, người học cung cấp để nhận tiền vay):  01 bản chính (lưu tại NHCSXH nơi thực hiện thủ tục).</w:t>
            </w:r>
          </w:p>
        </w:tc>
        <w:tc>
          <w:p/>
          <w:p>
            <w:pPr>
              <w:spacing w:after="0" w:before="0" w:lineRule="auto" w:line="276"/>
              <w:jc w:val="left"/>
            </w:pPr>
            <w:r>
              <w:rPr>
                <w:rFonts w:ascii="Times New Roman" w:hAnsi="Times New Roman" w:cs="Times New Roman" w:eastAsia="Times New Roman"/>
                <w:b w:val="false"/>
                <w:sz w:val="26"/>
              </w:rPr>
              <w:t>TkhaithngtinPhLcII-29-Q-TTg.doc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liên quan đến thực hiện bảo đảm tiền vay (nếu có), đối với khách hàng vay vốn trên 500 triệu đồng/người: 01 bản chính (lưu tại NHCSXH nơi thực hiện thủ tục).</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Người đứng tên vay vốn kê khai:</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ủy quyền (Mẫu số 01/UQ hoặc 03/UQ) (nếu có): 02 bản chính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03-UQGiyyquynvvicvayvn.VB-2407-2025.doc</w:t>
            </w:r>
          </w:p>
          <w:p>
            <w:pPr>
              <w:spacing w:after="0" w:before="0" w:lineRule="auto" w:line="276"/>
              <w:jc w:val="left"/>
            </w:pPr>
            <w:r>
              <w:rPr>
                <w:rFonts w:ascii="Times New Roman" w:hAnsi="Times New Roman" w:cs="Times New Roman" w:eastAsia="Times New Roman"/>
                <w:b w:val="false"/>
                <w:sz w:val="26"/>
              </w:rPr>
              <w:t>01-UQS-VB-5650-NHCS-TDNN.doc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người vay: Giấy đề nghị vay vốn kiêm phương án sử dụng vốn vay (mẫu số 01/TD)</w:t>
            </w:r>
          </w:p>
        </w:tc>
        <w:tc>
          <w:p/>
          <w:p>
            <w:pPr>
              <w:spacing w:after="0" w:before="0" w:lineRule="auto" w:line="276"/>
              <w:jc w:val="left"/>
            </w:pPr>
            <w:r>
              <w:rPr>
                <w:rFonts w:ascii="Times New Roman" w:hAnsi="Times New Roman" w:cs="Times New Roman" w:eastAsia="Times New Roman"/>
                <w:b w:val="false"/>
                <w:sz w:val="26"/>
              </w:rPr>
              <w:t>01-TD(SĐ)-VB-5589-29.12.2017.doc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Các tổ chức chính trị - xã hội, Ủy ban nhân dân cấp xã</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phê duyệt cho vay (mẫu số 04/TD).</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Quyết định số 15/QĐ-HĐQT</w:t>
            </w:r>
          </w:p>
        </w:tc>
        <w:tc>
          <w:p/>
          <w:p>
            <w:pPr>
              <w:spacing w:after="0" w:before="0" w:lineRule="auto" w:line="276"/>
              <w:jc w:val="left"/>
            </w:pPr>
            <w:r>
              <w:rPr>
                <w:rFonts w:ascii="Times New Roman" w:hAnsi="Times New Roman" w:cs="Times New Roman" w:eastAsia="Times New Roman"/>
                <w:b w:val="false"/>
                <w:sz w:val="26"/>
              </w:rPr>
              <w:t>15/QĐ-HĐQT</w:t>
            </w:r>
          </w:p>
        </w:tc>
        <w:tc>
          <w:p/>
          <w:p>
            <w:pPr>
              <w:spacing w:after="0" w:before="0" w:lineRule="auto" w:line="276"/>
              <w:jc w:val="left"/>
            </w:pPr>
            <w:r>
              <w:rPr>
                <w:rFonts w:ascii="Times New Roman" w:hAnsi="Times New Roman" w:cs="Times New Roman" w:eastAsia="Times New Roman"/>
                <w:b w:val="false"/>
                <w:sz w:val="26"/>
              </w:rPr>
              <w:t>05-03-2013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720/NHCS-TDNN-TDSV</w:t>
            </w:r>
          </w:p>
        </w:tc>
        <w:tc>
          <w:p/>
          <w:p>
            <w:pPr>
              <w:spacing w:after="0" w:before="0" w:lineRule="auto" w:line="276"/>
              <w:jc w:val="left"/>
            </w:pPr>
            <w:r>
              <w:rPr>
                <w:rFonts w:ascii="Times New Roman" w:hAnsi="Times New Roman" w:cs="Times New Roman" w:eastAsia="Times New Roman"/>
                <w:b w:val="false"/>
                <w:sz w:val="26"/>
              </w:rPr>
              <w:t>Văn bản số 720/NHCS-TDNN-TDSV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xml:space="preserve">78/2002/NĐ-CP </w:t>
            </w:r>
          </w:p>
        </w:tc>
        <w:tc>
          <w:p/>
          <w:p>
            <w:pPr>
              <w:spacing w:after="0" w:before="0" w:lineRule="auto" w:line="276"/>
              <w:jc w:val="left"/>
            </w:pPr>
            <w:r>
              <w:rPr>
                <w:rFonts w:ascii="Times New Roman" w:hAnsi="Times New Roman" w:cs="Times New Roman" w:eastAsia="Times New Roman"/>
                <w:b w:val="false"/>
                <w:sz w:val="26"/>
              </w:rPr>
              <w:t>Nghị định</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3524/NHCS-TDNN</w:t>
            </w:r>
          </w:p>
        </w:tc>
        <w:tc>
          <w:p/>
          <w:p>
            <w:pPr>
              <w:spacing w:after="0" w:before="0" w:lineRule="auto" w:line="276"/>
              <w:jc w:val="left"/>
            </w:pPr>
            <w:r>
              <w:rPr>
                <w:rFonts w:ascii="Times New Roman" w:hAnsi="Times New Roman" w:cs="Times New Roman" w:eastAsia="Times New Roman"/>
                <w:b w:val="false"/>
                <w:sz w:val="26"/>
              </w:rPr>
              <w:t>Về việc sửa đổi một số nội dung nghiệp vụ cho vay đối với hộ nghèo và các đối tượng chính sách khác</w:t>
            </w:r>
          </w:p>
        </w:tc>
        <w:tc>
          <w:p/>
          <w:p>
            <w:pPr>
              <w:spacing w:after="0" w:before="0" w:lineRule="auto" w:line="276"/>
              <w:jc w:val="left"/>
            </w:pPr>
            <w:r>
              <w:rPr>
                <w:rFonts w:ascii="Times New Roman" w:hAnsi="Times New Roman" w:cs="Times New Roman" w:eastAsia="Times New Roman"/>
                <w:b w:val="false"/>
                <w:sz w:val="26"/>
              </w:rPr>
              <w:t>28-04-2023</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104/2022/NĐ-CP</w:t>
            </w:r>
          </w:p>
        </w:tc>
        <w:tc>
          <w:p/>
          <w:p>
            <w:pPr>
              <w:spacing w:after="0" w:before="0" w:lineRule="auto" w:line="276"/>
              <w:jc w:val="left"/>
            </w:pPr>
            <w:r>
              <w:rPr>
                <w:rFonts w:ascii="Times New Roman" w:hAnsi="Times New Roman" w:cs="Times New Roman" w:eastAsia="Times New Roman"/>
                <w:b w:val="false"/>
                <w:sz w:val="26"/>
              </w:rPr>
              <w:t>Nghị định số 104/2022/NĐ-CP của Chính phủ: Sửa đổi, bổ sung một số điều của các nghị định liên quan đến việc nộp, xuất trình sổ hộ khẩu, sổ tạm trú giấy khi thực hiện thủ tục hành chính, cung cấp dịch vụ công</w:t>
            </w:r>
          </w:p>
        </w:tc>
        <w:tc>
          <w:p/>
          <w:p>
            <w:pPr>
              <w:spacing w:after="0" w:before="0" w:lineRule="auto" w:line="276"/>
              <w:jc w:val="left"/>
            </w:pPr>
            <w:r>
              <w:rPr>
                <w:rFonts w:ascii="Times New Roman" w:hAnsi="Times New Roman" w:cs="Times New Roman" w:eastAsia="Times New Roman"/>
                <w:b w:val="false"/>
                <w:sz w:val="26"/>
              </w:rPr>
              <w:t>21-12-2022</w:t>
            </w:r>
          </w:p>
        </w:tc>
        <w:tc>
          <w:p/>
        </w:tc>
      </w:tr>
      <w:tr>
        <w:tc>
          <w:p/>
          <w:p>
            <w:pPr>
              <w:spacing w:after="0" w:before="0" w:lineRule="auto" w:line="276"/>
              <w:jc w:val="left"/>
            </w:pPr>
            <w:r>
              <w:rPr>
                <w:rFonts w:ascii="Times New Roman" w:hAnsi="Times New Roman" w:cs="Times New Roman" w:eastAsia="Times New Roman"/>
                <w:b w:val="false"/>
                <w:sz w:val="26"/>
              </w:rPr>
              <w:t>29/2025/QĐ-TTg</w:t>
            </w:r>
          </w:p>
        </w:tc>
        <w:tc>
          <w:p/>
          <w:p>
            <w:pPr>
              <w:spacing w:after="0" w:before="0" w:lineRule="auto" w:line="276"/>
              <w:jc w:val="left"/>
            </w:pPr>
            <w:r>
              <w:rPr>
                <w:rFonts w:ascii="Times New Roman" w:hAnsi="Times New Roman" w:cs="Times New Roman" w:eastAsia="Times New Roman"/>
                <w:b w:val="false"/>
                <w:sz w:val="26"/>
              </w:rPr>
              <w:t>Quyết định số 29/2025/QĐ-TTg ngày 28/8/2025 của Thủ tướng Chính phủ về tín dụng đối với học sinh sinh viên, học viên thạc sĩ, nghiên cứu sinh học các ngành khoa học, công nghệ, kỹ thuật và toán;</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8068/HD-NHCS</w:t>
            </w:r>
          </w:p>
        </w:tc>
        <w:tc>
          <w:p/>
          <w:p>
            <w:pPr>
              <w:spacing w:after="0" w:before="0" w:lineRule="auto" w:line="276"/>
              <w:jc w:val="left"/>
            </w:pPr>
            <w:r>
              <w:rPr>
                <w:rFonts w:ascii="Times New Roman" w:hAnsi="Times New Roman" w:cs="Times New Roman" w:eastAsia="Times New Roman"/>
                <w:b w:val="false"/>
                <w:sz w:val="26"/>
              </w:rPr>
              <w:t>Văn bản số 8068/HD-NHCS ngày 28/8/2025 của Tổng Giám đốc NHCSXH hướng dẫn nghiệp vụ cho vay đối với học sinh sinh viên, học viên thạc sĩ, nghiên cứu sinh học các ngành khoa học, công nghệ, kỹ thuật và toán.</w:t>
            </w:r>
          </w:p>
        </w:tc>
        <w:tc>
          <w:p/>
          <w:p>
            <w:pPr>
              <w:spacing w:after="0" w:before="0" w:lineRule="auto" w:line="276"/>
              <w:jc w:val="left"/>
            </w:pPr>
            <w:r>
              <w:rPr>
                <w:rFonts w:ascii="Times New Roman" w:hAnsi="Times New Roman" w:cs="Times New Roman" w:eastAsia="Times New Roman"/>
                <w:b w:val="false"/>
                <w:sz w:val="26"/>
              </w:rPr>
              <w:t>28-08-2025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2407/NHCS-TDNN</w:t>
            </w:r>
          </w:p>
        </w:tc>
        <w:tc>
          <w:p/>
          <w:p>
            <w:pPr>
              <w:spacing w:after="0" w:before="0" w:lineRule="auto" w:line="276"/>
              <w:jc w:val="left"/>
            </w:pPr>
            <w:r>
              <w:rPr>
                <w:rFonts w:ascii="Times New Roman" w:hAnsi="Times New Roman" w:cs="Times New Roman" w:eastAsia="Times New Roman"/>
                <w:b w:val="false"/>
                <w:sz w:val="26"/>
              </w:rPr>
              <w:t>Văn bản số 2407/NHCS-TDNN ngày 28/3/2025 của Tổng Giám đốc NHCSXH về việc bổ sung hướng dẫn về thủ tục ủy quyền vay vốn;</w:t>
            </w:r>
          </w:p>
        </w:tc>
        <w:tc>
          <w:p/>
          <w:p>
            <w:pPr>
              <w:spacing w:after="0" w:before="0" w:lineRule="auto" w:line="276"/>
              <w:jc w:val="left"/>
            </w:pPr>
            <w:r>
              <w:rPr>
                <w:rFonts w:ascii="Times New Roman" w:hAnsi="Times New Roman" w:cs="Times New Roman" w:eastAsia="Times New Roman"/>
                <w:b w:val="false"/>
                <w:sz w:val="26"/>
              </w:rPr>
              <w:t>28-03-2025</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Có nhu cầu vay vốn.
- Học sinh, sinh viên, học viên thạc sĩ, nghiên cứu sinh là công dân Việt Nam đang theo học các ngành khoa học, công nghệ, kỹ thuật và toán theo quy định tại các cơ sở giáo dục đại học, cơ sở giáo dục nghề nghiệp thuộc hệ thống giáo dục quốc dân được thành lập và hoạt động theo quy định của pháp luật  Việt Nam (gọi chung là người học).
- Đối với học sinh, sinh viên năm thứ nhất: Có đồng thời cả ba năm học trung học phổ thông được đánh giá kết quả học tập đạt từ mức khá trở lên theo quy định của pháp luật; hoặc đạt điểm trung bình môn năm lớp 12 của các môn toán, vật lí, hóa học, sinh học từ 8 điểm trở lên.
- Đối với học sinh, sinh viên từ năm thứ hai trở đi: Có kết quả học tập trung bình các môn học đạt loại giỏi trở lên theo quy định của pháp luật tại năm trước liền kề với năm đề nghị NHCSXH cho vay vốn.
- Tại thời điểm đề nghị NHCSXH vay vốn, người học cung cấp Tờ khai thông tin theo mẫu quy định tại Phụ lục I đính kèm Quyết định số 29/2025/QĐ-TTg:  01 bản chính (lưu tại NHCSXH nơi thực hiện thủ tục).
- Hằng năm, người học cung cấp Tờ khai thông tin theo mẫu quy định tại Phụ lục II đính kèm Quyết định số 29/2025/QĐ-TTg: 01 bản chính (lưu tại NHCSXH nơi thực hiện thủ tục).</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2026-05-14T14:50:39Z</dcterms:created>
  <dc:creator>Apache POI</dc:creator>
</cp:coreProperties>
</file>