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gửi hồ sơ về Ủy ban nhân dân tỉnh, thành phố trực thuộc trung ương (sau đây gọi là Cơ quan đăng ký dấu nghiệp vụ)
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
Trong thời hạn 07 ngày làm việc kể từ ngày tiếp nhận bộ hồ sơ hợp lệ theo quy định tại khoản 1 Điều 4 Thông tư số 01/2015/TT-BCT,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thay đổi, bổ sung dấu nghiệp vụ trong chứng thư giám định, thương nhân kinh doanh dịch vụ giám định thương mại phải đăng ký với cơ quan đăng ký dấu nghiệp vụ nơi thương nhân đăng ký kinh doanh.</w:t>
            </w:r>
          </w:p>
        </w:tc>
        <w:tc>
          <w:p/>
          <w:p>
            <w:pPr>
              <w:spacing w:after="0" w:before="0" w:lineRule="auto" w:line="276"/>
              <w:jc w:val="left"/>
            </w:pPr>
            <w:r>
              <w:rPr>
                <w:rFonts w:ascii="Times New Roman" w:hAnsi="Times New Roman" w:cs="Times New Roman" w:eastAsia="Times New Roman"/>
                <w:b w:val="false"/>
                <w:sz w:val="26"/>
              </w:rPr>
              <w:t>Mus55.docx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Trình tự giải quyết và hồ sơ đăng ký thay đổi, bổ sung dấu nghiệp vụ thực hiện theo quy định tại Điều 4 Thông tư số 01/2015/TT-BCT.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Thương nhân chuyển địa chỉ trụ sở chính sang tỉnh, thành phố khác trực thuộc Trung ương có trách nhiệm thông báo bằng văn bản về việc đã đăng ký dấu nghiệp vụ tại nơi chuyển đi đến cơ quan đăng ký dấu nghiệp vụ nơi chuyển đến trong thời hạn 30 ngày kể từ ngày chuyển đến và không phải làm thủ tục đăng ký dấu nghiệp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đăng ký thay đổi, bổ sung dấu nghiệp nghiệp vụ giám định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20-02-2006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01/2015/TT-BCT</w:t>
            </w:r>
          </w:p>
        </w:tc>
        <w:tc>
          <w:p/>
          <w:p>
            <w:pPr>
              <w:spacing w:after="0" w:before="0" w:lineRule="auto" w:line="276"/>
              <w:jc w:val="left"/>
            </w:pPr>
            <w:r>
              <w:rPr>
                <w:rFonts w:ascii="Times New Roman" w:hAnsi="Times New Roman" w:cs="Times New Roman" w:eastAsia="Times New Roman"/>
                <w:b w:val="false"/>
                <w:sz w:val="26"/>
              </w:rPr>
              <w:t>Quy định thủ tục đăng ký dấu nghiệp vụ của thương nhân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12-01-2015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dịch vụ giám định thương mại.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2026-05-05T06:10:56Z</dcterms:created>
  <dc:creator>Apache POI</dc:creator>
</cp:coreProperties>
</file>