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3842/QĐ-BQP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hưởng chế độ bệnh nghề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Đối tượng nộp hồ sơ theo quy định cho cơ quan nhân sự cấp trung đoàn và tương đương.</w:t>
      </w:r>
    </w:p>
    <w:p>
      <w:pPr>
        <w:spacing w:after="0" w:before="0" w:lineRule="auto" w:line="276"/>
        <w:jc w:val="both"/>
      </w:pPr>
      <w:r>
        <w:rPr>
          <w:rFonts w:ascii="Times New Roman" w:hAnsi="Times New Roman" w:cs="Times New Roman" w:eastAsia="Times New Roman"/>
          <w:b w:val="false"/>
          <w:sz w:val="26"/>
        </w:rPr>
        <w:t>2.  Cơ quan nhân sự cấp trung đoàn và tương đương
- Hướng dẫn người lao động nộp hồ sơ; tiếp nhận, kiểm tra, đối chiếu các yếu tố về nhân thân giữa hồ sơ tham gia BHXH và giấy khai sinh, chứng minh thư (căn cước công dân), sổ hộ khẩu… của người lao động, bảo đảm tính thống nhất trước khi lập hồ sơ gửi cơ quan nhân sự cấp trên;
- Bổ sung đầy đủ quá trình đóng BHXH của người lao động vào sổ BHXH đến tháng liền kề trước khi bị bệnh nghề nghiệp hoặc đến tháng liền kề trước khi có kết luận của Hội đồng Giám định y khoa (đối với trường hợp không nghỉ việc điều trị bệnh hoặc không xác định được thời gian ra viện);
- Chủ trì phối hợp với cơ quan chức năng hoàn thiện hồ sơ theo quy định gửi cơ quan nhân sự cấp trên;
- Nhận lại hồ sơ đã được giải quyết từ cơ quan nhân sự cấp trên, giao cho người lao động.</w:t>
      </w:r>
    </w:p>
    <w:p>
      <w:pPr>
        <w:spacing w:after="0" w:before="0" w:lineRule="auto" w:line="276"/>
        <w:jc w:val="both"/>
      </w:pPr>
      <w:r>
        <w:rPr>
          <w:rFonts w:ascii="Times New Roman" w:hAnsi="Times New Roman" w:cs="Times New Roman" w:eastAsia="Times New Roman"/>
          <w:b w:val="false"/>
          <w:sz w:val="26"/>
        </w:rPr>
        <w:t>3. Cơ quan nhân sự cấp trên trung đoàn và tương đương
Tiếp nhận hồ sơ giải quyết hưởng chế độ bệnh nghề nghiệp do cơ quan nhân sự cấp dưới chuyển đến, kiểm tra, đối chiếu, hoàn thiện hồ sơ thuộc trách nhiệm theo hướng dẫn, gửi cơ quan nhân sự trực thuộc Bộ, tổng hợp gửi BHXH Bộ Quốc phòng hồ sơ của từng người lao động; nhận lại hồ sơ đã được BHXH Bộ Quốc phòng giải quyết, bàn giao cho đơn vị thuộc quyền để giao cho người lao động.</w:t>
      </w:r>
    </w:p>
    <w:p>
      <w:pPr>
        <w:spacing w:after="0" w:before="0" w:lineRule="auto" w:line="276"/>
        <w:jc w:val="both"/>
      </w:pPr>
      <w:r>
        <w:rPr>
          <w:rFonts w:ascii="Times New Roman" w:hAnsi="Times New Roman" w:cs="Times New Roman" w:eastAsia="Times New Roman"/>
          <w:b w:val="false"/>
          <w:sz w:val="26"/>
        </w:rPr>
        <w:t>4. Cơ quan tài chính cấp trung đoàn và tương đương
Tiếp nhận hồ sơ hưởng chế độ bệnh nghề nghiệp đã được BHXH Bộ Quốc phòng giải quyết do cơ quan nhân sự hoặc người lao động chuyển đến; kiểm tra, lập danh sách chi trả đầy đủ, kịp thời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1. Cơ quan nhân sự cấp trung đoàn và tương đương tiếp nhận, hoàn thiện hồ sơ, giới thiệu đối tượng đi giám định mức suy giảm khả năng lao động trong thời gian không quá 90 ngày kể từ ngày đối tượng điều trị ổn định xong ra viện.
2. Sau khi có kết quả giám định, cơ quan nhân sự các cấp trong Quân đội (từ cấp trung đoàn và tương đương trở lên) xét duyệt, thẩm định hồ sơ, gửi Bảo hiểm xã hội Bộ Quốc phòng, trong thời gian như sau: 15 ngày đối với cấp trung đoàn và tương đương, 10 ngày đối với cấp sư đoàn và tương đương, 05 ngày đối với cấp đơn vị trực thuộc Bộ.
3. Bảo hiểm xã hội Bộ Quốc phòng: 15 ngày.
Cách thực hiện: Đối tượng trực tiếp nộp hồ sơ theo quy định cho cơ quan nhân sự cấp trung đoàn và tương đương.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ra viện hoặc tóm tắt hồ sơ bệnh án sau khi điều trị bệnh nghề nghiệp; trường hợp không điều trị nội trú tại cơ sở khám, chữa bệnh thì phải có hồ sơ khám bệnh nghề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nhân sự cấp trung đoàn và tương đương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nhân sự cấp trung đoàn và tương đương.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Cấp sư đoàn và tương đương, cấp đơn vị trực thuộc Bộ</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hưởng chế độ đối với người lao động.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37/2016/NĐ-CP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an toàn, vệ sinh lao động về bảo hiểm tai nạn lao động, bệnh nghề nghiệp bắt buộc</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An toàn, Vệ sinh lao động</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181/2016/TT-BQP</w:t>
            </w:r>
          </w:p>
        </w:tc>
        <w:tc>
          <w:p/>
          <w:p>
            <w:pPr>
              <w:spacing w:after="0" w:before="0" w:lineRule="auto" w:line="276"/>
              <w:jc w:val="left"/>
            </w:pPr>
            <w:r>
              <w:rPr>
                <w:rFonts w:ascii="Times New Roman" w:hAnsi="Times New Roman" w:cs="Times New Roman" w:eastAsia="Times New Roman"/>
                <w:b w:val="false"/>
                <w:sz w:val="26"/>
              </w:rPr>
              <w:t>Thông tư 181/2016/TT-BQP</w:t>
            </w:r>
          </w:p>
        </w:tc>
        <w:tc>
          <w:p/>
          <w:p>
            <w:pPr>
              <w:spacing w:after="0" w:before="0" w:lineRule="auto" w:line="276"/>
              <w:jc w:val="left"/>
            </w:pPr>
            <w:r>
              <w:rPr>
                <w:rFonts w:ascii="Times New Roman" w:hAnsi="Times New Roman" w:cs="Times New Roman" w:eastAsia="Times New Roman"/>
                <w:b w:val="false"/>
                <w:sz w:val="26"/>
              </w:rPr>
              <w:t>04-11-2016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lao động tham gia bảo hiểm tai nạn lao động, bệnh nghề nghiệp được hưởng chế độ bệnh nghề nghiệp khi có đủ các điều kiện sau đây:
a) Bị bệnh nghề nghiệp thuộc Danh mục bệnh nghề nghiệp do Bộ Y tế ban hành theo quy định tại Khoản 1 Điều 37 Luật An toàn, vệ sinh lao động;
b) Suy giảm khả năng lao động từ 5% trở lên do bị bệnh quy định tại Điểm a Khoản 1 này.
2. Người lao động không còn làm việc trong các nghề, công việc có nguy cơ bị bệnh nghề nghiệp thuộc Danh mục bệnh nghề nghiệp do Bộ trưởng Bộ Y tế ban hành theo quy định tại Khoản 1 Điều 37 của Luật An toàn, vệ sinh lao động mà bị phát hiện bệnh nghề nghiệp trong thời gian quy định thì được giám định để xem xét, giải quyết chế độ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2026-05-23T17:05:37Z</dcterms:created>
  <dc:creator>Apache POI</dc:creator>
</cp:coreProperties>
</file>