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công nhận trung tâm hỗ trợ khởi nghiệp sáng tạo, Giấy công nhận trung tâm hỗ trợ khởi nghiệp sáng tạo cấp tỉnh, Giấy công nhận cá nhân, nhóm cá nhân khởi nghiệp sáng tạo, Giấy công nhận doanh nghiệp khởi nghiệp sáng tạo, Giấy công nhận chuyên gia hỗ trợ khởi nghiệp sáng tạo, Giấy công nhận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yêu cầu cấp lại Giấy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cấp lại Giấy công nhận hoặc từ chối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cấp lại Giấy công nhận theo Mẫu số IV.1.2</w:t>
            </w:r>
          </w:p>
        </w:tc>
        <w:tc>
          <w:p/>
          <w:p>
            <w:pPr>
              <w:spacing w:after="0" w:before="0" w:lineRule="auto" w:line="276"/>
              <w:jc w:val="left"/>
            </w:pPr>
            <w:r>
              <w:rPr>
                <w:rFonts w:ascii="Times New Roman" w:hAnsi="Times New Roman" w:cs="Times New Roman" w:eastAsia="Times New Roman"/>
                <w:b w:val="false"/>
                <w:sz w:val="26"/>
              </w:rPr>
              <w:t>MausoIV.1.2.YeucaucaplaiGiaycongnhan.docx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tài liệu chứng minh về việc thay đổi thông tin, điều chỉnh, bổ sung hoặc văn bản cam kết về việc Giấy công nhận bị mất, cháy, rách, nát hoặc bị tiêu hủy dưới hình thức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công nhận trong trường hợp thay đổi thông tin của tổ chức, doanh nghiệp, cá nhân, nhóm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hỗ trợ khởi nghiệp sáng tạo các cấp, Giấy công nhận doanh nghiệp khởi nghiệp sáng tạo, Giấy công nhận cá nhân, nhóm cá nhân khởi nghiệp sáng tạo, Giấy công nhận chuyên gia hỗ trợ khởi nghiệp sáng tạo,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2026-05-25T07:59:02Z</dcterms:created>
  <dc:creator>Apache POI</dc:creator>
</cp:coreProperties>
</file>