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nhà đầu tư cá nhân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giải trình, hoàn thiện hồ sơ trong thời hạn 15 ngày kể từ khi nhận được yêu cầu. Sau thời hạn này, nếu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 theo Mẫu số IV.1.1</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theo Mẫu số IV.2.4</w:t>
            </w:r>
          </w:p>
        </w:tc>
        <w:tc>
          <w:p/>
          <w:p>
            <w:pPr>
              <w:spacing w:after="0" w:before="0" w:lineRule="auto" w:line="276"/>
              <w:jc w:val="left"/>
            </w:pPr>
            <w:r>
              <w:rPr>
                <w:rFonts w:ascii="Times New Roman" w:hAnsi="Times New Roman" w:cs="Times New Roman" w:eastAsia="Times New Roman"/>
                <w:b w:val="false"/>
                <w:sz w:val="26"/>
              </w:rPr>
              <w:t>MausoIV.2.4.ThuyetminhCGNDTKNST.docx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đáp ứng tiêu chí nhà đầu tư cá nhân khởi nghiệp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chuyên gia hỗ trợ khởi nghiệp sáng tạo, nhà đầu tư cá nhân khởi nghiệp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công dân Việt Nam, có năng lực hành vi dân sự đầy đủ, thường trú tại Việt Nam; nếu là công dân nước ngoài thì phải có xác nhận cư trú hợp pháp tại Việt Nam.
2. Thu nhập cá nhân chịu thuế đạt ít nhất 01 tỷ đồng Việt Nam mỗi năm trong ít nhất 02 năm gần đây và có khả năng duy trì mức thu nhập này trong năm hiện tại.
3. Có ít nhất 05 năm kinh nghiệm trong lĩnh vực công nghệ, marketing, tài chính, kinh doanh hoặc đầu tư và đã trực tiếp đầu tư tối thiểu vào 05 cá nhân hoặc 02 nhóm cá nhân khởi nghiệp sáng tạo hoặc 02 doanh nghiệp khởi nghiệp sáng tạo trong 02 năm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2026-05-25T07:57:02Z</dcterms:created>
  <dc:creator>Apache POI</dc:creator>
</cp:coreProperties>
</file>